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6536B" w:rsidRPr="00D6536B" w:rsidRDefault="00D6536B" w:rsidP="00D6536B">
      <w:pPr>
        <w:spacing w:after="0" w:line="360" w:lineRule="auto"/>
        <w:jc w:val="center"/>
        <w:rPr>
          <w:rFonts w:ascii="Times New Roman" w:hAnsi="Times New Roman" w:cs="Times New Roman"/>
          <w:b/>
          <w:sz w:val="28"/>
          <w:szCs w:val="28"/>
        </w:rPr>
      </w:pPr>
      <w:r w:rsidRPr="00D6536B">
        <w:rPr>
          <w:rFonts w:ascii="Times New Roman" w:hAnsi="Times New Roman" w:cs="Times New Roman"/>
          <w:b/>
          <w:sz w:val="28"/>
          <w:szCs w:val="28"/>
        </w:rPr>
        <w:t>МІНІСТЕРСТВО ОСВІТИ І НАУКИ УКРАЇНИ</w:t>
      </w:r>
    </w:p>
    <w:p w:rsidR="00D6536B" w:rsidRPr="00D6536B" w:rsidRDefault="00D6536B" w:rsidP="00D6536B">
      <w:pPr>
        <w:spacing w:after="0" w:line="360" w:lineRule="auto"/>
        <w:jc w:val="center"/>
        <w:rPr>
          <w:rFonts w:ascii="Times New Roman" w:hAnsi="Times New Roman" w:cs="Times New Roman"/>
          <w:b/>
          <w:sz w:val="28"/>
          <w:szCs w:val="28"/>
        </w:rPr>
      </w:pPr>
      <w:r w:rsidRPr="00D6536B">
        <w:rPr>
          <w:rFonts w:ascii="Times New Roman" w:hAnsi="Times New Roman" w:cs="Times New Roman"/>
          <w:b/>
          <w:sz w:val="28"/>
          <w:szCs w:val="28"/>
        </w:rPr>
        <w:t>ЗАПОРІЗЬКИЙ НАЦІОНАЛЬНИЙ УНІВЕРСИТЕТ</w:t>
      </w:r>
    </w:p>
    <w:p w:rsidR="00D6536B" w:rsidRPr="00D6536B" w:rsidRDefault="00D6536B" w:rsidP="00D6536B">
      <w:pPr>
        <w:spacing w:after="0" w:line="360" w:lineRule="auto"/>
        <w:jc w:val="center"/>
        <w:rPr>
          <w:rFonts w:ascii="Times New Roman" w:hAnsi="Times New Roman" w:cs="Times New Roman"/>
          <w:b/>
          <w:sz w:val="28"/>
          <w:szCs w:val="28"/>
        </w:rPr>
      </w:pPr>
      <w:r w:rsidRPr="00D6536B">
        <w:rPr>
          <w:rFonts w:ascii="Times New Roman" w:hAnsi="Times New Roman" w:cs="Times New Roman"/>
          <w:b/>
          <w:sz w:val="28"/>
          <w:szCs w:val="28"/>
        </w:rPr>
        <w:t>ЕКОНОМІЧНИЙ ФАКУЛЬТЕТ</w:t>
      </w:r>
    </w:p>
    <w:p w:rsidR="00D6536B" w:rsidRPr="00D6536B" w:rsidRDefault="00D6536B" w:rsidP="00D6536B">
      <w:pPr>
        <w:spacing w:after="0" w:line="360" w:lineRule="auto"/>
        <w:jc w:val="center"/>
        <w:rPr>
          <w:rFonts w:ascii="Times New Roman" w:hAnsi="Times New Roman" w:cs="Times New Roman"/>
          <w:sz w:val="28"/>
          <w:szCs w:val="28"/>
        </w:rPr>
      </w:pPr>
    </w:p>
    <w:p w:rsidR="00D6536B" w:rsidRPr="00D6536B" w:rsidRDefault="00D6536B" w:rsidP="00D6536B">
      <w:pPr>
        <w:spacing w:after="0" w:line="360" w:lineRule="auto"/>
        <w:jc w:val="center"/>
        <w:rPr>
          <w:rFonts w:ascii="Times New Roman" w:hAnsi="Times New Roman" w:cs="Times New Roman"/>
          <w:sz w:val="28"/>
          <w:szCs w:val="28"/>
        </w:rPr>
      </w:pPr>
      <w:r w:rsidRPr="00D6536B">
        <w:rPr>
          <w:rFonts w:ascii="Times New Roman" w:hAnsi="Times New Roman" w:cs="Times New Roman"/>
          <w:sz w:val="28"/>
          <w:szCs w:val="28"/>
        </w:rPr>
        <w:t xml:space="preserve">Кафедра міжнародної економіки, природних ресурсів та економіки міжнародного туризму </w:t>
      </w:r>
    </w:p>
    <w:p w:rsidR="00D6536B" w:rsidRPr="00D6536B" w:rsidRDefault="00D6536B" w:rsidP="00D6536B">
      <w:pPr>
        <w:spacing w:after="0" w:line="360" w:lineRule="auto"/>
        <w:jc w:val="center"/>
        <w:rPr>
          <w:rFonts w:ascii="Times New Roman" w:hAnsi="Times New Roman" w:cs="Times New Roman"/>
          <w:sz w:val="28"/>
          <w:szCs w:val="28"/>
        </w:rPr>
      </w:pPr>
    </w:p>
    <w:p w:rsidR="00D6536B" w:rsidRPr="00D6536B" w:rsidRDefault="00D6536B" w:rsidP="00D6536B">
      <w:pPr>
        <w:spacing w:after="0" w:line="360" w:lineRule="auto"/>
        <w:jc w:val="center"/>
        <w:rPr>
          <w:rFonts w:ascii="Times New Roman" w:hAnsi="Times New Roman" w:cs="Times New Roman"/>
          <w:sz w:val="28"/>
          <w:szCs w:val="28"/>
        </w:rPr>
      </w:pPr>
    </w:p>
    <w:p w:rsidR="00D6536B" w:rsidRPr="00D6536B" w:rsidRDefault="00D6536B" w:rsidP="00D6536B">
      <w:pPr>
        <w:spacing w:after="0" w:line="360" w:lineRule="auto"/>
        <w:jc w:val="center"/>
        <w:rPr>
          <w:rFonts w:ascii="Times New Roman" w:hAnsi="Times New Roman" w:cs="Times New Roman"/>
          <w:sz w:val="28"/>
          <w:szCs w:val="28"/>
        </w:rPr>
      </w:pPr>
    </w:p>
    <w:p w:rsidR="00D6536B" w:rsidRPr="00D6536B" w:rsidRDefault="00D6536B" w:rsidP="00D6536B">
      <w:pPr>
        <w:spacing w:after="0" w:line="360" w:lineRule="auto"/>
        <w:jc w:val="center"/>
        <w:rPr>
          <w:rFonts w:ascii="Times New Roman" w:hAnsi="Times New Roman" w:cs="Times New Roman"/>
          <w:b/>
          <w:sz w:val="36"/>
          <w:szCs w:val="36"/>
        </w:rPr>
      </w:pPr>
      <w:r w:rsidRPr="00D6536B">
        <w:rPr>
          <w:rFonts w:ascii="Times New Roman" w:hAnsi="Times New Roman" w:cs="Times New Roman"/>
          <w:b/>
          <w:sz w:val="36"/>
          <w:szCs w:val="36"/>
        </w:rPr>
        <w:t>Кваліфікаційна робота</w:t>
      </w:r>
    </w:p>
    <w:p w:rsidR="00D6536B" w:rsidRPr="00D6536B" w:rsidRDefault="00D6536B" w:rsidP="00D6536B">
      <w:pPr>
        <w:spacing w:after="0" w:line="36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магістра</w:t>
      </w:r>
    </w:p>
    <w:p w:rsidR="00D6536B" w:rsidRPr="00D6536B" w:rsidRDefault="00D6536B" w:rsidP="00D6536B">
      <w:pPr>
        <w:spacing w:after="0" w:line="360" w:lineRule="auto"/>
        <w:jc w:val="center"/>
        <w:rPr>
          <w:rFonts w:ascii="Times New Roman" w:hAnsi="Times New Roman" w:cs="Times New Roman"/>
          <w:color w:val="000000" w:themeColor="text1"/>
          <w:sz w:val="28"/>
          <w:szCs w:val="28"/>
        </w:rPr>
      </w:pPr>
    </w:p>
    <w:p w:rsidR="00D6536B" w:rsidRPr="00D6536B" w:rsidRDefault="00D6536B" w:rsidP="00D6536B">
      <w:pPr>
        <w:spacing w:after="0" w:line="36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на тему «</w:t>
      </w:r>
      <w:bookmarkStart w:id="0" w:name="_Hlk185253541"/>
      <w:r w:rsidR="00F60436" w:rsidRPr="008F0289">
        <w:rPr>
          <w:rFonts w:ascii="Times New Roman" w:hAnsi="Times New Roman" w:cs="Times New Roman"/>
          <w:color w:val="000000" w:themeColor="text1"/>
          <w:sz w:val="28"/>
          <w:szCs w:val="28"/>
        </w:rPr>
        <w:t>Земельна рента (абсолютна, диференціальна) в розрахунках добробуту громадян та соціальної справедливості</w:t>
      </w:r>
      <w:bookmarkEnd w:id="0"/>
      <w:r w:rsidRPr="00D6536B">
        <w:rPr>
          <w:rFonts w:ascii="Times New Roman" w:hAnsi="Times New Roman" w:cs="Times New Roman"/>
          <w:color w:val="000000" w:themeColor="text1"/>
          <w:sz w:val="28"/>
          <w:szCs w:val="28"/>
        </w:rPr>
        <w:t>»</w:t>
      </w:r>
    </w:p>
    <w:p w:rsidR="00D6536B" w:rsidRPr="00D6536B" w:rsidRDefault="00D6536B" w:rsidP="00D6536B">
      <w:pPr>
        <w:spacing w:after="0" w:line="360" w:lineRule="auto"/>
        <w:jc w:val="center"/>
        <w:rPr>
          <w:rFonts w:ascii="Times New Roman" w:eastAsia="Times New Roman" w:hAnsi="Times New Roman" w:cs="Times New Roman"/>
          <w:color w:val="000000" w:themeColor="text1"/>
          <w:sz w:val="28"/>
          <w:szCs w:val="28"/>
        </w:rPr>
      </w:pPr>
      <w:r w:rsidRPr="00D6536B">
        <w:rPr>
          <w:rFonts w:ascii="Times New Roman" w:eastAsia="Times New Roman" w:hAnsi="Times New Roman" w:cs="Times New Roman"/>
          <w:color w:val="000000" w:themeColor="text1"/>
          <w:sz w:val="28"/>
          <w:szCs w:val="28"/>
        </w:rPr>
        <w:t xml:space="preserve">  </w:t>
      </w:r>
    </w:p>
    <w:p w:rsidR="00D6536B" w:rsidRPr="00D6536B" w:rsidRDefault="00D6536B" w:rsidP="00D6536B">
      <w:pPr>
        <w:spacing w:after="0" w:line="360" w:lineRule="auto"/>
        <w:jc w:val="center"/>
        <w:rPr>
          <w:rFonts w:ascii="Times New Roman" w:hAnsi="Times New Roman" w:cs="Times New Roman"/>
          <w:sz w:val="28"/>
          <w:szCs w:val="28"/>
        </w:rPr>
      </w:pPr>
    </w:p>
    <w:p w:rsidR="00D6536B" w:rsidRPr="00D6536B" w:rsidRDefault="00D6536B" w:rsidP="00D6536B">
      <w:pPr>
        <w:spacing w:after="0" w:line="360" w:lineRule="auto"/>
        <w:jc w:val="center"/>
        <w:rPr>
          <w:rFonts w:ascii="Times New Roman" w:hAnsi="Times New Roman" w:cs="Times New Roman"/>
          <w:color w:val="000000" w:themeColor="text1"/>
          <w:sz w:val="28"/>
          <w:szCs w:val="28"/>
        </w:rPr>
      </w:pPr>
    </w:p>
    <w:p w:rsidR="00D6536B" w:rsidRPr="00D6536B" w:rsidRDefault="00D6536B" w:rsidP="00D6536B">
      <w:pPr>
        <w:widowControl w:val="0"/>
        <w:spacing w:after="0" w:line="36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Виконав: студент</w:t>
      </w:r>
      <w:r w:rsidR="00F60436" w:rsidRPr="008F0289">
        <w:rPr>
          <w:rFonts w:ascii="Times New Roman" w:hAnsi="Times New Roman" w:cs="Times New Roman"/>
          <w:color w:val="000000" w:themeColor="text1"/>
          <w:sz w:val="28"/>
          <w:szCs w:val="28"/>
        </w:rPr>
        <w:t xml:space="preserve"> </w:t>
      </w:r>
      <w:r w:rsidRPr="00D6536B">
        <w:rPr>
          <w:rFonts w:ascii="Times New Roman" w:hAnsi="Times New Roman" w:cs="Times New Roman"/>
          <w:color w:val="000000" w:themeColor="text1"/>
          <w:sz w:val="28"/>
          <w:szCs w:val="28"/>
        </w:rPr>
        <w:t xml:space="preserve">2 курсу, групи </w:t>
      </w:r>
      <w:r w:rsidR="00F60436" w:rsidRPr="008F0289">
        <w:rPr>
          <w:rFonts w:ascii="Times New Roman" w:hAnsi="Times New Roman" w:cs="Times New Roman"/>
          <w:color w:val="000000" w:themeColor="text1"/>
          <w:sz w:val="28"/>
          <w:szCs w:val="28"/>
        </w:rPr>
        <w:t>6</w:t>
      </w:r>
      <w:r w:rsidRPr="00D6536B">
        <w:rPr>
          <w:rFonts w:ascii="Times New Roman" w:hAnsi="Times New Roman" w:cs="Times New Roman"/>
          <w:color w:val="000000" w:themeColor="text1"/>
          <w:sz w:val="28"/>
          <w:szCs w:val="28"/>
        </w:rPr>
        <w:t xml:space="preserve">.0513-ме, </w:t>
      </w:r>
    </w:p>
    <w:p w:rsidR="00D6536B" w:rsidRPr="00D6536B" w:rsidRDefault="00D6536B" w:rsidP="00D6536B">
      <w:pPr>
        <w:widowControl w:val="0"/>
        <w:spacing w:after="0" w:line="36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 xml:space="preserve">спеціальності 051 Економіка </w:t>
      </w:r>
    </w:p>
    <w:p w:rsidR="00D6536B" w:rsidRPr="00D6536B" w:rsidRDefault="00D6536B" w:rsidP="00D6536B">
      <w:pPr>
        <w:widowControl w:val="0"/>
        <w:spacing w:after="0" w:line="36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 xml:space="preserve">освітньої програми Міжнародна економіка </w:t>
      </w:r>
      <w:r w:rsidR="00F60436" w:rsidRPr="008F0289">
        <w:rPr>
          <w:rFonts w:ascii="Times New Roman" w:hAnsi="Times New Roman" w:cs="Times New Roman"/>
          <w:color w:val="000000" w:themeColor="text1"/>
          <w:sz w:val="28"/>
          <w:szCs w:val="28"/>
        </w:rPr>
        <w:br/>
        <w:t>Бондаренко Володимир Геннадійович</w:t>
      </w:r>
    </w:p>
    <w:p w:rsidR="00D6536B" w:rsidRPr="00D6536B" w:rsidRDefault="00D6536B" w:rsidP="00D6536B">
      <w:pPr>
        <w:widowControl w:val="0"/>
        <w:spacing w:after="0" w:line="360" w:lineRule="auto"/>
        <w:rPr>
          <w:rFonts w:ascii="Times New Roman" w:hAnsi="Times New Roman" w:cs="Times New Roman"/>
          <w:color w:val="000000" w:themeColor="text1"/>
          <w:sz w:val="28"/>
          <w:szCs w:val="28"/>
        </w:rPr>
      </w:pPr>
    </w:p>
    <w:p w:rsidR="00D6536B" w:rsidRPr="00D6536B" w:rsidRDefault="00D6536B" w:rsidP="002C1410">
      <w:pPr>
        <w:widowControl w:val="0"/>
        <w:spacing w:after="0" w:line="36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Керівник</w:t>
      </w:r>
      <w:r w:rsidR="008E41ED">
        <w:rPr>
          <w:rFonts w:ascii="Times New Roman" w:hAnsi="Times New Roman" w:cs="Times New Roman"/>
          <w:color w:val="000000" w:themeColor="text1"/>
          <w:sz w:val="28"/>
          <w:szCs w:val="28"/>
        </w:rPr>
        <w:t>:</w:t>
      </w:r>
      <w:r w:rsidRPr="00D6536B">
        <w:rPr>
          <w:rFonts w:ascii="Times New Roman" w:hAnsi="Times New Roman" w:cs="Times New Roman"/>
          <w:color w:val="000000" w:themeColor="text1"/>
          <w:sz w:val="28"/>
          <w:szCs w:val="28"/>
        </w:rPr>
        <w:t xml:space="preserve"> </w:t>
      </w:r>
      <w:r w:rsidR="008E41ED" w:rsidRPr="008F0289">
        <w:rPr>
          <w:rFonts w:ascii="Times New Roman" w:hAnsi="Times New Roman" w:cs="Times New Roman"/>
          <w:color w:val="000000" w:themeColor="text1"/>
          <w:sz w:val="28"/>
          <w:szCs w:val="28"/>
        </w:rPr>
        <w:t>професор кафедри міжнародної економіки</w:t>
      </w:r>
      <w:r w:rsidR="008E41ED">
        <w:rPr>
          <w:rFonts w:ascii="Times New Roman" w:hAnsi="Times New Roman" w:cs="Times New Roman"/>
          <w:color w:val="000000" w:themeColor="text1"/>
          <w:sz w:val="28"/>
          <w:szCs w:val="28"/>
        </w:rPr>
        <w:t>,</w:t>
      </w:r>
      <w:r w:rsidR="008E41ED" w:rsidRPr="008F0289">
        <w:rPr>
          <w:rFonts w:ascii="Times New Roman" w:hAnsi="Times New Roman" w:cs="Times New Roman"/>
          <w:color w:val="000000" w:themeColor="text1"/>
          <w:sz w:val="28"/>
          <w:szCs w:val="28"/>
        </w:rPr>
        <w:t xml:space="preserve"> природних ресурсів та економіки міжнародного туризму</w:t>
      </w:r>
      <w:r w:rsidR="008E41ED">
        <w:rPr>
          <w:rFonts w:ascii="Times New Roman" w:hAnsi="Times New Roman" w:cs="Times New Roman"/>
          <w:color w:val="000000" w:themeColor="text1"/>
          <w:sz w:val="28"/>
          <w:szCs w:val="28"/>
        </w:rPr>
        <w:t>,</w:t>
      </w:r>
      <w:r w:rsidR="008E41ED" w:rsidRPr="008F0289">
        <w:rPr>
          <w:rFonts w:ascii="Times New Roman" w:hAnsi="Times New Roman" w:cs="Times New Roman"/>
          <w:color w:val="000000" w:themeColor="text1"/>
          <w:sz w:val="28"/>
          <w:szCs w:val="28"/>
        </w:rPr>
        <w:t xml:space="preserve"> </w:t>
      </w:r>
      <w:r w:rsidR="008E41ED">
        <w:rPr>
          <w:rFonts w:ascii="Times New Roman" w:hAnsi="Times New Roman" w:cs="Times New Roman"/>
          <w:color w:val="000000" w:themeColor="text1"/>
          <w:sz w:val="28"/>
          <w:szCs w:val="28"/>
        </w:rPr>
        <w:t>д</w:t>
      </w:r>
      <w:r w:rsidR="008E41ED" w:rsidRPr="008F0289">
        <w:rPr>
          <w:rFonts w:ascii="Times New Roman" w:hAnsi="Times New Roman" w:cs="Times New Roman"/>
          <w:color w:val="000000" w:themeColor="text1"/>
          <w:sz w:val="28"/>
          <w:szCs w:val="28"/>
        </w:rPr>
        <w:t>октор економічних наук,</w:t>
      </w:r>
      <w:r w:rsidR="008E41ED">
        <w:rPr>
          <w:rFonts w:ascii="Times New Roman" w:hAnsi="Times New Roman" w:cs="Times New Roman"/>
          <w:color w:val="000000" w:themeColor="text1"/>
          <w:sz w:val="28"/>
          <w:szCs w:val="28"/>
        </w:rPr>
        <w:t xml:space="preserve"> </w:t>
      </w:r>
      <w:bookmarkStart w:id="1" w:name="_Hlk185253331"/>
      <w:r w:rsidR="00972C5A" w:rsidRPr="008F0289">
        <w:rPr>
          <w:rFonts w:ascii="Times New Roman" w:hAnsi="Times New Roman" w:cs="Times New Roman"/>
          <w:color w:val="000000" w:themeColor="text1"/>
          <w:sz w:val="28"/>
          <w:szCs w:val="28"/>
        </w:rPr>
        <w:t>Бабміндра Д.І</w:t>
      </w:r>
      <w:bookmarkEnd w:id="1"/>
      <w:r w:rsidR="00972C5A" w:rsidRPr="008F0289">
        <w:rPr>
          <w:rFonts w:ascii="Times New Roman" w:hAnsi="Times New Roman" w:cs="Times New Roman"/>
          <w:color w:val="000000" w:themeColor="text1"/>
          <w:sz w:val="28"/>
          <w:szCs w:val="28"/>
        </w:rPr>
        <w:t>.</w:t>
      </w:r>
    </w:p>
    <w:p w:rsidR="00D6536B" w:rsidRPr="00D6536B" w:rsidRDefault="00D6536B" w:rsidP="002C1410">
      <w:pPr>
        <w:widowControl w:val="0"/>
        <w:spacing w:after="0" w:line="36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Рецензент</w:t>
      </w:r>
      <w:r w:rsidR="008E41ED">
        <w:rPr>
          <w:rFonts w:ascii="Times New Roman" w:hAnsi="Times New Roman" w:cs="Times New Roman"/>
          <w:color w:val="000000" w:themeColor="text1"/>
          <w:sz w:val="28"/>
          <w:szCs w:val="28"/>
        </w:rPr>
        <w:t>:</w:t>
      </w:r>
      <w:r w:rsidRPr="00D6536B">
        <w:rPr>
          <w:rFonts w:ascii="Times New Roman" w:hAnsi="Times New Roman" w:cs="Times New Roman"/>
          <w:color w:val="000000" w:themeColor="text1"/>
          <w:sz w:val="28"/>
          <w:szCs w:val="28"/>
        </w:rPr>
        <w:t xml:space="preserve"> </w:t>
      </w:r>
      <w:bookmarkStart w:id="2" w:name="_Hlk184597519"/>
      <w:r w:rsidR="008E41ED" w:rsidRPr="008F0289">
        <w:rPr>
          <w:rFonts w:ascii="Times New Roman" w:hAnsi="Times New Roman" w:cs="Times New Roman"/>
          <w:color w:val="000000" w:themeColor="text1"/>
          <w:sz w:val="28"/>
          <w:szCs w:val="28"/>
        </w:rPr>
        <w:t>професор кафедри міжнародної економіки, природних ресурсів та економіки міжнародного туризму</w:t>
      </w:r>
      <w:bookmarkEnd w:id="2"/>
      <w:r w:rsidR="008E41ED">
        <w:rPr>
          <w:rFonts w:ascii="Times New Roman" w:hAnsi="Times New Roman" w:cs="Times New Roman"/>
          <w:color w:val="000000" w:themeColor="text1"/>
          <w:sz w:val="28"/>
          <w:szCs w:val="28"/>
        </w:rPr>
        <w:t>,</w:t>
      </w:r>
      <w:r w:rsidR="008E41ED" w:rsidRPr="008F0289">
        <w:rPr>
          <w:rFonts w:ascii="Times New Roman" w:hAnsi="Times New Roman" w:cs="Times New Roman"/>
          <w:color w:val="000000" w:themeColor="text1"/>
          <w:sz w:val="28"/>
          <w:szCs w:val="28"/>
        </w:rPr>
        <w:t xml:space="preserve"> </w:t>
      </w:r>
      <w:r w:rsidR="008E41ED">
        <w:rPr>
          <w:rFonts w:ascii="Times New Roman" w:hAnsi="Times New Roman" w:cs="Times New Roman"/>
          <w:color w:val="000000" w:themeColor="text1"/>
          <w:sz w:val="28"/>
          <w:szCs w:val="28"/>
        </w:rPr>
        <w:t>д</w:t>
      </w:r>
      <w:r w:rsidR="008E41ED" w:rsidRPr="008F0289">
        <w:rPr>
          <w:rFonts w:ascii="Times New Roman" w:hAnsi="Times New Roman" w:cs="Times New Roman"/>
          <w:color w:val="000000" w:themeColor="text1"/>
          <w:sz w:val="28"/>
          <w:szCs w:val="28"/>
        </w:rPr>
        <w:t xml:space="preserve">октор економічних наук, </w:t>
      </w:r>
      <w:r w:rsidR="00972C5A" w:rsidRPr="008F0289">
        <w:rPr>
          <w:rFonts w:ascii="Times New Roman" w:hAnsi="Times New Roman" w:cs="Times New Roman"/>
          <w:color w:val="000000" w:themeColor="text1"/>
          <w:sz w:val="28"/>
          <w:szCs w:val="28"/>
        </w:rPr>
        <w:t>Гамова О. В.</w:t>
      </w:r>
      <w:r w:rsidR="00157919" w:rsidRPr="008F0289">
        <w:rPr>
          <w:rFonts w:ascii="Times New Roman" w:hAnsi="Times New Roman" w:cs="Times New Roman"/>
          <w:color w:val="000000" w:themeColor="text1"/>
          <w:sz w:val="28"/>
          <w:szCs w:val="28"/>
        </w:rPr>
        <w:t xml:space="preserve"> </w:t>
      </w:r>
    </w:p>
    <w:p w:rsidR="008E41ED" w:rsidRDefault="008E41ED" w:rsidP="00157919">
      <w:pPr>
        <w:spacing w:after="0" w:line="360" w:lineRule="auto"/>
        <w:jc w:val="center"/>
        <w:rPr>
          <w:rFonts w:ascii="Times New Roman" w:hAnsi="Times New Roman" w:cs="Times New Roman"/>
          <w:color w:val="000000" w:themeColor="text1"/>
          <w:sz w:val="28"/>
          <w:szCs w:val="28"/>
        </w:rPr>
      </w:pPr>
    </w:p>
    <w:p w:rsidR="008E41ED" w:rsidRDefault="008E41ED" w:rsidP="00157919">
      <w:pPr>
        <w:spacing w:after="0" w:line="360" w:lineRule="auto"/>
        <w:jc w:val="center"/>
        <w:rPr>
          <w:rFonts w:ascii="Times New Roman" w:hAnsi="Times New Roman" w:cs="Times New Roman"/>
          <w:color w:val="000000" w:themeColor="text1"/>
          <w:sz w:val="28"/>
          <w:szCs w:val="28"/>
        </w:rPr>
      </w:pPr>
    </w:p>
    <w:p w:rsidR="00D6536B" w:rsidRPr="00D6536B" w:rsidRDefault="00D6536B" w:rsidP="00157919">
      <w:pPr>
        <w:spacing w:after="0" w:line="36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Запоріжжя</w:t>
      </w:r>
    </w:p>
    <w:p w:rsidR="00D6536B" w:rsidRPr="008F0289" w:rsidRDefault="00D6536B" w:rsidP="00157919">
      <w:pPr>
        <w:spacing w:after="0" w:line="36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2024</w:t>
      </w:r>
    </w:p>
    <w:p w:rsidR="00D6536B" w:rsidRPr="00D6536B" w:rsidRDefault="00D6536B" w:rsidP="00D6536B">
      <w:pPr>
        <w:spacing w:after="0" w:line="360" w:lineRule="auto"/>
        <w:jc w:val="center"/>
        <w:rPr>
          <w:rFonts w:ascii="Times New Roman" w:hAnsi="Times New Roman" w:cs="Times New Roman"/>
          <w:b/>
          <w:sz w:val="28"/>
          <w:szCs w:val="28"/>
        </w:rPr>
      </w:pPr>
      <w:r w:rsidRPr="00D6536B">
        <w:rPr>
          <w:rFonts w:ascii="Times New Roman" w:hAnsi="Times New Roman" w:cs="Times New Roman"/>
          <w:b/>
          <w:sz w:val="28"/>
          <w:szCs w:val="28"/>
        </w:rPr>
        <w:lastRenderedPageBreak/>
        <w:t>МІНІСТЕРСТВО ОСВІТИ І НАУКИ УКРАЇНИ</w:t>
      </w:r>
    </w:p>
    <w:p w:rsidR="00D6536B" w:rsidRPr="00D6536B" w:rsidRDefault="00D6536B" w:rsidP="00D6536B">
      <w:pPr>
        <w:spacing w:after="200" w:line="276" w:lineRule="auto"/>
        <w:jc w:val="center"/>
        <w:rPr>
          <w:rFonts w:ascii="Times New Roman" w:hAnsi="Times New Roman" w:cs="Times New Roman"/>
          <w:b/>
          <w:sz w:val="28"/>
          <w:szCs w:val="28"/>
        </w:rPr>
      </w:pPr>
      <w:r w:rsidRPr="00D6536B">
        <w:rPr>
          <w:rFonts w:ascii="Times New Roman" w:hAnsi="Times New Roman" w:cs="Times New Roman"/>
          <w:b/>
          <w:sz w:val="28"/>
          <w:szCs w:val="28"/>
        </w:rPr>
        <w:t>ЗАПОРІЗЬКИЙ НАЦІОНАЛЬНИЙ УНІВЕРСИТЕТ</w:t>
      </w:r>
    </w:p>
    <w:p w:rsidR="00D6536B" w:rsidRPr="00D6536B" w:rsidRDefault="00D6536B" w:rsidP="00D6536B">
      <w:pPr>
        <w:keepNext/>
        <w:spacing w:after="0" w:line="240" w:lineRule="auto"/>
        <w:outlineLvl w:val="0"/>
        <w:rPr>
          <w:rFonts w:ascii="Times New Roman" w:hAnsi="Times New Roman" w:cs="Times New Roman"/>
          <w:bCs/>
          <w:sz w:val="28"/>
          <w:szCs w:val="28"/>
        </w:rPr>
      </w:pPr>
    </w:p>
    <w:p w:rsidR="00D6536B" w:rsidRPr="00D6536B" w:rsidRDefault="00D6536B" w:rsidP="00D6536B">
      <w:pPr>
        <w:keepNext/>
        <w:spacing w:after="0" w:line="240" w:lineRule="auto"/>
        <w:outlineLvl w:val="0"/>
        <w:rPr>
          <w:rFonts w:ascii="Times New Roman" w:hAnsi="Times New Roman" w:cs="Times New Roman"/>
          <w:bCs/>
          <w:sz w:val="28"/>
          <w:szCs w:val="28"/>
        </w:rPr>
      </w:pPr>
      <w:bookmarkStart w:id="3" w:name="_Toc187523547"/>
      <w:r w:rsidRPr="00D6536B">
        <w:rPr>
          <w:rFonts w:ascii="Times New Roman" w:hAnsi="Times New Roman" w:cs="Times New Roman"/>
          <w:bCs/>
          <w:sz w:val="28"/>
          <w:szCs w:val="28"/>
        </w:rPr>
        <w:t>Факультет економічний</w:t>
      </w:r>
      <w:bookmarkEnd w:id="3"/>
    </w:p>
    <w:p w:rsidR="00D6536B" w:rsidRPr="00D6536B" w:rsidRDefault="00D6536B" w:rsidP="00D6536B">
      <w:pPr>
        <w:keepNext/>
        <w:spacing w:after="0" w:line="240" w:lineRule="auto"/>
        <w:outlineLvl w:val="0"/>
        <w:rPr>
          <w:rFonts w:ascii="Times New Roman" w:hAnsi="Times New Roman" w:cs="Times New Roman"/>
          <w:color w:val="000000" w:themeColor="text1"/>
          <w:sz w:val="28"/>
          <w:szCs w:val="28"/>
        </w:rPr>
      </w:pPr>
      <w:bookmarkStart w:id="4" w:name="_Toc187523548"/>
      <w:r w:rsidRPr="00D6536B">
        <w:rPr>
          <w:rFonts w:ascii="Times New Roman" w:hAnsi="Times New Roman" w:cs="Times New Roman"/>
          <w:bCs/>
          <w:sz w:val="28"/>
          <w:szCs w:val="28"/>
        </w:rPr>
        <w:t xml:space="preserve">Кафедра </w:t>
      </w:r>
      <w:r w:rsidRPr="00D6536B">
        <w:rPr>
          <w:rFonts w:ascii="Times New Roman" w:hAnsi="Times New Roman" w:cs="Times New Roman"/>
          <w:sz w:val="28"/>
          <w:szCs w:val="28"/>
        </w:rPr>
        <w:t xml:space="preserve">міжнародної економіки, природних ресурсів та економіки </w:t>
      </w:r>
      <w:r w:rsidRPr="00D6536B">
        <w:rPr>
          <w:rFonts w:ascii="Times New Roman" w:hAnsi="Times New Roman" w:cs="Times New Roman"/>
          <w:color w:val="000000" w:themeColor="text1"/>
          <w:sz w:val="28"/>
          <w:szCs w:val="28"/>
        </w:rPr>
        <w:t>міжнародного туризму</w:t>
      </w:r>
      <w:bookmarkEnd w:id="4"/>
      <w:r w:rsidRPr="00D6536B">
        <w:rPr>
          <w:rFonts w:ascii="Times New Roman" w:hAnsi="Times New Roman" w:cs="Times New Roman"/>
          <w:color w:val="000000" w:themeColor="text1"/>
          <w:sz w:val="28"/>
          <w:szCs w:val="28"/>
        </w:rPr>
        <w:t xml:space="preserve"> </w:t>
      </w:r>
    </w:p>
    <w:p w:rsidR="00D6536B" w:rsidRPr="00D6536B" w:rsidRDefault="00D6536B" w:rsidP="00D6536B">
      <w:pPr>
        <w:keepNext/>
        <w:spacing w:after="0" w:line="240" w:lineRule="auto"/>
        <w:outlineLvl w:val="0"/>
        <w:rPr>
          <w:rFonts w:ascii="Times New Roman" w:hAnsi="Times New Roman" w:cs="Times New Roman"/>
          <w:color w:val="000000" w:themeColor="text1"/>
          <w:sz w:val="28"/>
          <w:szCs w:val="28"/>
        </w:rPr>
      </w:pPr>
      <w:bookmarkStart w:id="5" w:name="_Toc187523549"/>
      <w:r w:rsidRPr="00D6536B">
        <w:rPr>
          <w:rFonts w:ascii="Times New Roman" w:hAnsi="Times New Roman" w:cs="Times New Roman"/>
          <w:color w:val="000000" w:themeColor="text1"/>
          <w:sz w:val="28"/>
          <w:szCs w:val="28"/>
        </w:rPr>
        <w:t>Рівень вищої освіти другий (магістерський)</w:t>
      </w:r>
      <w:bookmarkEnd w:id="5"/>
    </w:p>
    <w:p w:rsidR="00D6536B" w:rsidRPr="00D6536B" w:rsidRDefault="00D6536B" w:rsidP="00D6536B">
      <w:pPr>
        <w:keepNext/>
        <w:spacing w:after="0" w:line="240" w:lineRule="auto"/>
        <w:jc w:val="both"/>
        <w:outlineLvl w:val="0"/>
        <w:rPr>
          <w:rFonts w:ascii="Times New Roman" w:hAnsi="Times New Roman" w:cs="Times New Roman"/>
          <w:bCs/>
          <w:color w:val="000000" w:themeColor="text1"/>
          <w:sz w:val="28"/>
          <w:szCs w:val="28"/>
        </w:rPr>
      </w:pPr>
      <w:bookmarkStart w:id="6" w:name="_Toc187523550"/>
      <w:r w:rsidRPr="00D6536B">
        <w:rPr>
          <w:rFonts w:ascii="Times New Roman" w:hAnsi="Times New Roman" w:cs="Times New Roman"/>
          <w:bCs/>
          <w:color w:val="000000" w:themeColor="text1"/>
          <w:sz w:val="28"/>
          <w:szCs w:val="28"/>
        </w:rPr>
        <w:t xml:space="preserve">Спеціальність </w:t>
      </w:r>
      <w:r w:rsidRPr="00D6536B">
        <w:rPr>
          <w:rFonts w:ascii="Times New Roman" w:hAnsi="Times New Roman" w:cs="Times New Roman"/>
          <w:color w:val="000000" w:themeColor="text1"/>
          <w:sz w:val="28"/>
          <w:szCs w:val="28"/>
        </w:rPr>
        <w:t>051 Економіка</w:t>
      </w:r>
      <w:bookmarkEnd w:id="6"/>
    </w:p>
    <w:p w:rsidR="00D6536B" w:rsidRPr="00D6536B" w:rsidRDefault="00D6536B" w:rsidP="00D6536B">
      <w:pPr>
        <w:keepNext/>
        <w:spacing w:after="0" w:line="240" w:lineRule="auto"/>
        <w:jc w:val="both"/>
        <w:outlineLvl w:val="0"/>
        <w:rPr>
          <w:rFonts w:ascii="Times New Roman" w:hAnsi="Times New Roman" w:cs="Times New Roman"/>
          <w:color w:val="000000" w:themeColor="text1"/>
          <w:sz w:val="28"/>
          <w:szCs w:val="28"/>
        </w:rPr>
      </w:pPr>
      <w:bookmarkStart w:id="7" w:name="_Toc187523551"/>
      <w:r w:rsidRPr="00D6536B">
        <w:rPr>
          <w:rFonts w:ascii="Times New Roman" w:hAnsi="Times New Roman" w:cs="Times New Roman"/>
          <w:color w:val="000000" w:themeColor="text1"/>
          <w:sz w:val="28"/>
          <w:szCs w:val="28"/>
        </w:rPr>
        <w:t>Освітня програма Міжнародна економіка</w:t>
      </w:r>
      <w:bookmarkEnd w:id="7"/>
      <w:r w:rsidRPr="00D6536B">
        <w:rPr>
          <w:rFonts w:ascii="Times New Roman" w:hAnsi="Times New Roman" w:cs="Times New Roman"/>
          <w:color w:val="000000" w:themeColor="text1"/>
          <w:sz w:val="28"/>
          <w:szCs w:val="28"/>
        </w:rPr>
        <w:t xml:space="preserve"> </w:t>
      </w:r>
    </w:p>
    <w:p w:rsidR="00D6536B" w:rsidRPr="00D6536B" w:rsidRDefault="00D6536B" w:rsidP="00D6536B">
      <w:pPr>
        <w:keepNext/>
        <w:keepLines/>
        <w:spacing w:after="0" w:line="360" w:lineRule="auto"/>
        <w:outlineLvl w:val="0"/>
        <w:rPr>
          <w:rFonts w:ascii="Times New Roman" w:eastAsia="Times New Roman" w:hAnsi="Times New Roman" w:cs="Times New Roman"/>
          <w:b/>
          <w:bCs/>
          <w:sz w:val="28"/>
          <w:szCs w:val="28"/>
        </w:rPr>
      </w:pPr>
    </w:p>
    <w:p w:rsidR="00D6536B" w:rsidRPr="00D6536B" w:rsidRDefault="00D6536B" w:rsidP="00D6536B">
      <w:pPr>
        <w:keepNext/>
        <w:keepLines/>
        <w:spacing w:after="0" w:line="360" w:lineRule="auto"/>
        <w:outlineLvl w:val="0"/>
        <w:rPr>
          <w:rFonts w:ascii="Times New Roman" w:eastAsia="Times New Roman" w:hAnsi="Times New Roman" w:cs="Times New Roman"/>
          <w:b/>
          <w:bCs/>
          <w:sz w:val="28"/>
          <w:szCs w:val="28"/>
        </w:rPr>
      </w:pPr>
      <w:bookmarkStart w:id="8" w:name="_Toc187523552"/>
      <w:r w:rsidRPr="00D6536B">
        <w:rPr>
          <w:rFonts w:ascii="Times New Roman" w:eastAsia="Times New Roman" w:hAnsi="Times New Roman" w:cs="Times New Roman"/>
          <w:b/>
          <w:bCs/>
          <w:sz w:val="28"/>
          <w:szCs w:val="28"/>
        </w:rPr>
        <w:t>ЗАТВЕРДЖУЮ</w:t>
      </w:r>
      <w:bookmarkEnd w:id="8"/>
    </w:p>
    <w:p w:rsidR="00D6536B" w:rsidRPr="00D6536B" w:rsidRDefault="00D6536B" w:rsidP="00D6536B">
      <w:pPr>
        <w:keepNext/>
        <w:keepLines/>
        <w:spacing w:after="0" w:line="360" w:lineRule="auto"/>
        <w:outlineLvl w:val="0"/>
        <w:rPr>
          <w:rFonts w:ascii="Times New Roman" w:eastAsia="Times New Roman" w:hAnsi="Times New Roman" w:cs="Times New Roman"/>
          <w:bCs/>
          <w:sz w:val="28"/>
          <w:szCs w:val="28"/>
        </w:rPr>
      </w:pPr>
      <w:bookmarkStart w:id="9" w:name="_Toc187523553"/>
      <w:r w:rsidRPr="00D6536B">
        <w:rPr>
          <w:rFonts w:ascii="Times New Roman" w:eastAsia="Times New Roman" w:hAnsi="Times New Roman" w:cs="Times New Roman"/>
          <w:bCs/>
          <w:sz w:val="28"/>
          <w:szCs w:val="28"/>
        </w:rPr>
        <w:t>Завідувач кафедри _________ О.В. Гамова</w:t>
      </w:r>
      <w:bookmarkEnd w:id="9"/>
      <w:r w:rsidRPr="00D6536B">
        <w:rPr>
          <w:rFonts w:ascii="Times New Roman" w:eastAsia="Times New Roman" w:hAnsi="Times New Roman" w:cs="Times New Roman"/>
          <w:bCs/>
          <w:sz w:val="28"/>
          <w:szCs w:val="28"/>
        </w:rPr>
        <w:t xml:space="preserve"> </w:t>
      </w:r>
    </w:p>
    <w:p w:rsidR="00D6536B" w:rsidRPr="00D6536B" w:rsidRDefault="00D6536B" w:rsidP="00D6536B">
      <w:pPr>
        <w:keepNext/>
        <w:keepLines/>
        <w:spacing w:after="0" w:line="360" w:lineRule="auto"/>
        <w:outlineLvl w:val="0"/>
        <w:rPr>
          <w:rFonts w:ascii="Times New Roman" w:eastAsia="Times New Roman" w:hAnsi="Times New Roman" w:cs="Times New Roman"/>
          <w:b/>
          <w:bCs/>
          <w:sz w:val="28"/>
          <w:szCs w:val="28"/>
        </w:rPr>
      </w:pPr>
      <w:bookmarkStart w:id="10" w:name="_Toc187523554"/>
      <w:r w:rsidRPr="00D6536B">
        <w:rPr>
          <w:rFonts w:ascii="Times New Roman" w:eastAsia="Times New Roman" w:hAnsi="Times New Roman" w:cs="Times New Roman"/>
          <w:b/>
          <w:bCs/>
          <w:sz w:val="28"/>
          <w:szCs w:val="28"/>
        </w:rPr>
        <w:t>«____»_____________________ 2024 року</w:t>
      </w:r>
      <w:bookmarkEnd w:id="10"/>
    </w:p>
    <w:p w:rsidR="00D6536B" w:rsidRPr="00D6536B" w:rsidRDefault="00D6536B" w:rsidP="00D6536B">
      <w:pPr>
        <w:spacing w:after="200" w:line="276" w:lineRule="auto"/>
        <w:jc w:val="right"/>
        <w:rPr>
          <w:rFonts w:ascii="Times New Roman" w:hAnsi="Times New Roman" w:cs="Times New Roman"/>
          <w:b/>
          <w:color w:val="000000" w:themeColor="text1"/>
          <w:sz w:val="28"/>
          <w:szCs w:val="28"/>
        </w:rPr>
      </w:pPr>
    </w:p>
    <w:p w:rsidR="00D6536B" w:rsidRPr="00D6536B" w:rsidRDefault="00D6536B" w:rsidP="00D6536B">
      <w:pPr>
        <w:keepNext/>
        <w:spacing w:after="0" w:line="240" w:lineRule="auto"/>
        <w:jc w:val="center"/>
        <w:outlineLvl w:val="1"/>
        <w:rPr>
          <w:rFonts w:ascii="Times New Roman" w:eastAsia="Times New Roman" w:hAnsi="Times New Roman" w:cs="Times New Roman"/>
          <w:b/>
          <w:bCs/>
          <w:iCs/>
          <w:color w:val="000000" w:themeColor="text1"/>
          <w:sz w:val="28"/>
          <w:szCs w:val="28"/>
        </w:rPr>
      </w:pPr>
      <w:bookmarkStart w:id="11" w:name="_Toc187523555"/>
      <w:r w:rsidRPr="00D6536B">
        <w:rPr>
          <w:rFonts w:ascii="Times New Roman" w:eastAsia="Times New Roman" w:hAnsi="Times New Roman" w:cs="Times New Roman"/>
          <w:b/>
          <w:bCs/>
          <w:iCs/>
          <w:color w:val="000000" w:themeColor="text1"/>
          <w:sz w:val="28"/>
          <w:szCs w:val="28"/>
        </w:rPr>
        <w:t xml:space="preserve">З  А  В  Д  А  Н  </w:t>
      </w:r>
      <w:proofErr w:type="spellStart"/>
      <w:r w:rsidRPr="00D6536B">
        <w:rPr>
          <w:rFonts w:ascii="Times New Roman" w:eastAsia="Times New Roman" w:hAnsi="Times New Roman" w:cs="Times New Roman"/>
          <w:b/>
          <w:bCs/>
          <w:iCs/>
          <w:color w:val="000000" w:themeColor="text1"/>
          <w:sz w:val="28"/>
          <w:szCs w:val="28"/>
        </w:rPr>
        <w:t>Н</w:t>
      </w:r>
      <w:proofErr w:type="spellEnd"/>
      <w:r w:rsidRPr="00D6536B">
        <w:rPr>
          <w:rFonts w:ascii="Times New Roman" w:eastAsia="Times New Roman" w:hAnsi="Times New Roman" w:cs="Times New Roman"/>
          <w:b/>
          <w:bCs/>
          <w:iCs/>
          <w:color w:val="000000" w:themeColor="text1"/>
          <w:sz w:val="28"/>
          <w:szCs w:val="28"/>
        </w:rPr>
        <w:t xml:space="preserve">  Я</w:t>
      </w:r>
      <w:bookmarkEnd w:id="11"/>
    </w:p>
    <w:p w:rsidR="00D6536B" w:rsidRPr="00D6536B" w:rsidRDefault="00D6536B" w:rsidP="00D6536B">
      <w:pPr>
        <w:spacing w:after="0" w:line="240" w:lineRule="auto"/>
        <w:jc w:val="center"/>
        <w:outlineLvl w:val="2"/>
        <w:rPr>
          <w:rFonts w:ascii="Times New Roman" w:eastAsia="Times New Roman" w:hAnsi="Times New Roman" w:cs="Times New Roman"/>
          <w:b/>
          <w:bCs/>
          <w:color w:val="000000" w:themeColor="text1"/>
          <w:sz w:val="28"/>
          <w:szCs w:val="28"/>
        </w:rPr>
      </w:pPr>
      <w:bookmarkStart w:id="12" w:name="_Toc187523556"/>
      <w:r w:rsidRPr="00D6536B">
        <w:rPr>
          <w:rFonts w:ascii="Times New Roman" w:eastAsia="Times New Roman" w:hAnsi="Times New Roman" w:cs="Times New Roman"/>
          <w:b/>
          <w:bCs/>
          <w:color w:val="000000" w:themeColor="text1"/>
          <w:sz w:val="28"/>
          <w:szCs w:val="28"/>
        </w:rPr>
        <w:t>НА КВАЛІФІКАЦІЙНУ РОБОТУ СТУДЕНТОВІ</w:t>
      </w:r>
      <w:bookmarkEnd w:id="12"/>
    </w:p>
    <w:p w:rsidR="00D6536B" w:rsidRPr="00D6536B" w:rsidRDefault="00D6536B" w:rsidP="00D6536B">
      <w:pPr>
        <w:spacing w:after="0" w:line="240" w:lineRule="auto"/>
        <w:rPr>
          <w:rFonts w:ascii="Times New Roman" w:hAnsi="Times New Roman" w:cs="Times New Roman"/>
          <w:color w:val="000000" w:themeColor="text1"/>
          <w:sz w:val="28"/>
          <w:szCs w:val="28"/>
        </w:rPr>
      </w:pPr>
    </w:p>
    <w:p w:rsidR="00D6536B" w:rsidRPr="00D6536B" w:rsidRDefault="00972C5A" w:rsidP="00D6536B">
      <w:pPr>
        <w:spacing w:after="0" w:line="240" w:lineRule="auto"/>
        <w:jc w:val="center"/>
        <w:rPr>
          <w:rFonts w:ascii="Times New Roman" w:eastAsia="Times New Roman" w:hAnsi="Times New Roman" w:cs="Times New Roman"/>
          <w:color w:val="000000" w:themeColor="text1"/>
          <w:sz w:val="28"/>
          <w:szCs w:val="28"/>
        </w:rPr>
      </w:pPr>
      <w:r w:rsidRPr="008F0289">
        <w:rPr>
          <w:rFonts w:ascii="Times New Roman" w:eastAsia="Times New Roman" w:hAnsi="Times New Roman" w:cs="Times New Roman"/>
          <w:color w:val="000000" w:themeColor="text1"/>
          <w:sz w:val="28"/>
          <w:szCs w:val="28"/>
        </w:rPr>
        <w:t>Бондаренк</w:t>
      </w:r>
      <w:r w:rsidR="008F0289">
        <w:rPr>
          <w:rFonts w:ascii="Times New Roman" w:eastAsia="Times New Roman" w:hAnsi="Times New Roman" w:cs="Times New Roman"/>
          <w:color w:val="000000" w:themeColor="text1"/>
          <w:sz w:val="28"/>
          <w:szCs w:val="28"/>
        </w:rPr>
        <w:t>у</w:t>
      </w:r>
      <w:r w:rsidRPr="008F0289">
        <w:rPr>
          <w:rFonts w:ascii="Times New Roman" w:eastAsia="Times New Roman" w:hAnsi="Times New Roman" w:cs="Times New Roman"/>
          <w:color w:val="000000" w:themeColor="text1"/>
          <w:sz w:val="28"/>
          <w:szCs w:val="28"/>
        </w:rPr>
        <w:t xml:space="preserve"> Володимир</w:t>
      </w:r>
      <w:r w:rsidR="008F0289">
        <w:rPr>
          <w:rFonts w:ascii="Times New Roman" w:eastAsia="Times New Roman" w:hAnsi="Times New Roman" w:cs="Times New Roman"/>
          <w:color w:val="000000" w:themeColor="text1"/>
          <w:sz w:val="28"/>
          <w:szCs w:val="28"/>
        </w:rPr>
        <w:t>у</w:t>
      </w:r>
      <w:r w:rsidRPr="008F0289">
        <w:rPr>
          <w:rFonts w:ascii="Times New Roman" w:eastAsia="Times New Roman" w:hAnsi="Times New Roman" w:cs="Times New Roman"/>
          <w:color w:val="000000" w:themeColor="text1"/>
          <w:sz w:val="28"/>
          <w:szCs w:val="28"/>
        </w:rPr>
        <w:t xml:space="preserve"> Геннадійович</w:t>
      </w:r>
      <w:r w:rsidR="008F0289">
        <w:rPr>
          <w:rFonts w:ascii="Times New Roman" w:eastAsia="Times New Roman" w:hAnsi="Times New Roman" w:cs="Times New Roman"/>
          <w:color w:val="000000" w:themeColor="text1"/>
          <w:sz w:val="28"/>
          <w:szCs w:val="28"/>
        </w:rPr>
        <w:t>у</w:t>
      </w:r>
    </w:p>
    <w:p w:rsidR="00D6536B" w:rsidRPr="00D6536B" w:rsidRDefault="00D6536B" w:rsidP="00D6536B">
      <w:pPr>
        <w:spacing w:after="0" w:line="240" w:lineRule="auto"/>
        <w:jc w:val="center"/>
        <w:rPr>
          <w:rFonts w:ascii="Times New Roman" w:eastAsia="Times New Roman" w:hAnsi="Times New Roman" w:cs="Times New Roman"/>
          <w:color w:val="000000" w:themeColor="text1"/>
          <w:sz w:val="28"/>
          <w:szCs w:val="28"/>
        </w:rPr>
      </w:pPr>
    </w:p>
    <w:p w:rsidR="00D6536B" w:rsidRPr="00D6536B" w:rsidRDefault="00D6536B" w:rsidP="00D6536B">
      <w:pPr>
        <w:spacing w:after="0" w:line="240" w:lineRule="auto"/>
        <w:jc w:val="both"/>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1. Тема роботи:</w:t>
      </w:r>
      <w:r w:rsidRPr="00D6536B">
        <w:rPr>
          <w:rFonts w:ascii="Times New Roman" w:hAnsi="Times New Roman" w:cs="Times New Roman"/>
          <w:b/>
          <w:color w:val="000000" w:themeColor="text1"/>
          <w:sz w:val="28"/>
          <w:szCs w:val="28"/>
        </w:rPr>
        <w:t xml:space="preserve"> </w:t>
      </w:r>
      <w:r w:rsidRPr="00D6536B">
        <w:rPr>
          <w:rFonts w:ascii="Times New Roman" w:hAnsi="Times New Roman" w:cs="Times New Roman"/>
          <w:color w:val="000000" w:themeColor="text1"/>
          <w:sz w:val="28"/>
          <w:szCs w:val="28"/>
        </w:rPr>
        <w:t>«</w:t>
      </w:r>
      <w:r w:rsidR="00972C5A" w:rsidRPr="008F0289">
        <w:rPr>
          <w:rFonts w:ascii="Times New Roman" w:hAnsi="Times New Roman" w:cs="Times New Roman"/>
          <w:color w:val="000000" w:themeColor="text1"/>
          <w:sz w:val="28"/>
          <w:szCs w:val="28"/>
        </w:rPr>
        <w:t>Земельна рента (абсолютна, диференціальна) в розрахунках добробуту громадян та соціальної справедливості</w:t>
      </w:r>
      <w:r w:rsidRPr="00D6536B">
        <w:rPr>
          <w:rFonts w:ascii="Times New Roman" w:hAnsi="Times New Roman" w:cs="Times New Roman"/>
          <w:color w:val="000000" w:themeColor="text1"/>
          <w:sz w:val="28"/>
          <w:szCs w:val="28"/>
        </w:rPr>
        <w:t>»</w:t>
      </w:r>
    </w:p>
    <w:p w:rsidR="00D6536B" w:rsidRPr="00D6536B" w:rsidRDefault="00D6536B" w:rsidP="002C1410">
      <w:pPr>
        <w:widowControl w:val="0"/>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керівник роботи:</w:t>
      </w:r>
      <w:r w:rsidR="002C1410" w:rsidRPr="008F0289">
        <w:rPr>
          <w:rFonts w:ascii="Times New Roman" w:hAnsi="Times New Roman" w:cs="Times New Roman"/>
          <w:color w:val="000000" w:themeColor="text1"/>
          <w:sz w:val="28"/>
          <w:szCs w:val="28"/>
        </w:rPr>
        <w:t xml:space="preserve"> Бабміндра Д.І., д.е.н., професор кафедри міжнародної економіки, природних ресурсів та економіки міжнародного туризму.</w:t>
      </w:r>
      <w:r w:rsidR="002C1410" w:rsidRPr="008F0289">
        <w:rPr>
          <w:rFonts w:ascii="Times New Roman" w:hAnsi="Times New Roman" w:cs="Times New Roman"/>
          <w:color w:val="000000" w:themeColor="text1"/>
          <w:sz w:val="28"/>
          <w:szCs w:val="28"/>
        </w:rPr>
        <w:tab/>
        <w:t xml:space="preserve">                                                                                           </w:t>
      </w:r>
      <w:r w:rsidRPr="00D6536B">
        <w:rPr>
          <w:rFonts w:ascii="Times New Roman" w:hAnsi="Times New Roman" w:cs="Times New Roman"/>
          <w:color w:val="000000" w:themeColor="text1"/>
          <w:sz w:val="28"/>
          <w:szCs w:val="28"/>
        </w:rPr>
        <w:t>затверджені наказом ЗНУ від 29 грудня 2023 р. № 2252-с.</w:t>
      </w:r>
    </w:p>
    <w:p w:rsidR="00D6536B" w:rsidRPr="00D6536B" w:rsidRDefault="00D6536B" w:rsidP="00D6536B">
      <w:pPr>
        <w:spacing w:after="0" w:line="240" w:lineRule="auto"/>
        <w:jc w:val="both"/>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2. Строк подання студентом роботи: 18 листопада 2024 р.</w:t>
      </w:r>
    </w:p>
    <w:p w:rsidR="00D6536B" w:rsidRPr="00D6536B" w:rsidRDefault="00D6536B" w:rsidP="00D6536B">
      <w:pPr>
        <w:spacing w:after="0" w:line="240" w:lineRule="auto"/>
        <w:jc w:val="both"/>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 xml:space="preserve">3. Вихідні дані до роботи: </w:t>
      </w:r>
      <w:proofErr w:type="spellStart"/>
      <w:r w:rsidR="00972C5A" w:rsidRPr="008F0289">
        <w:rPr>
          <w:rFonts w:ascii="Times New Roman" w:hAnsi="Times New Roman" w:cs="Times New Roman"/>
          <w:color w:val="000000" w:themeColor="text1"/>
          <w:sz w:val="28"/>
          <w:szCs w:val="28"/>
        </w:rPr>
        <w:t>публікаціїї</w:t>
      </w:r>
      <w:proofErr w:type="spellEnd"/>
      <w:r w:rsidR="00972C5A" w:rsidRPr="008F0289">
        <w:rPr>
          <w:rFonts w:ascii="Times New Roman" w:hAnsi="Times New Roman" w:cs="Times New Roman"/>
          <w:color w:val="000000" w:themeColor="text1"/>
          <w:sz w:val="28"/>
          <w:szCs w:val="28"/>
        </w:rPr>
        <w:t xml:space="preserve"> у фахових журналах, монографії, електроні економічні публікації, інтернет-ресурси</w:t>
      </w:r>
      <w:r w:rsidR="001A3E33">
        <w:rPr>
          <w:rFonts w:ascii="Times New Roman" w:hAnsi="Times New Roman" w:cs="Times New Roman"/>
          <w:color w:val="000000" w:themeColor="text1"/>
          <w:sz w:val="28"/>
          <w:szCs w:val="28"/>
        </w:rPr>
        <w:t>.</w:t>
      </w:r>
    </w:p>
    <w:p w:rsidR="00D6536B" w:rsidRPr="008F0289" w:rsidRDefault="00D6536B" w:rsidP="00D6536B">
      <w:pPr>
        <w:spacing w:after="0" w:line="240" w:lineRule="auto"/>
        <w:jc w:val="both"/>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 xml:space="preserve">4. Зміст розрахунково-пояснювальної записки (перелік питань, які потрібно розробити): </w:t>
      </w:r>
      <w:r w:rsidR="000E24B6" w:rsidRPr="008F0289">
        <w:rPr>
          <w:rFonts w:ascii="Times New Roman" w:hAnsi="Times New Roman" w:cs="Times New Roman"/>
          <w:color w:val="000000" w:themeColor="text1"/>
          <w:sz w:val="28"/>
          <w:szCs w:val="28"/>
        </w:rPr>
        <w:br/>
      </w:r>
      <w:r w:rsidR="000E24B6" w:rsidRPr="008F0289">
        <w:rPr>
          <w:rFonts w:ascii="Times New Roman" w:hAnsi="Times New Roman" w:cs="Times New Roman"/>
          <w:color w:val="000000" w:themeColor="text1"/>
          <w:sz w:val="28"/>
          <w:szCs w:val="28"/>
        </w:rPr>
        <w:tab/>
        <w:t xml:space="preserve">- </w:t>
      </w:r>
      <w:proofErr w:type="spellStart"/>
      <w:r w:rsidR="000E24B6" w:rsidRPr="008F0289">
        <w:rPr>
          <w:rFonts w:ascii="Times New Roman" w:hAnsi="Times New Roman" w:cs="Times New Roman"/>
          <w:color w:val="000000" w:themeColor="text1"/>
          <w:sz w:val="28"/>
          <w:szCs w:val="28"/>
        </w:rPr>
        <w:t>теоритичні</w:t>
      </w:r>
      <w:proofErr w:type="spellEnd"/>
      <w:r w:rsidR="000E24B6" w:rsidRPr="008F0289">
        <w:rPr>
          <w:rFonts w:ascii="Times New Roman" w:hAnsi="Times New Roman" w:cs="Times New Roman"/>
          <w:color w:val="000000" w:themeColor="text1"/>
          <w:sz w:val="28"/>
          <w:szCs w:val="28"/>
        </w:rPr>
        <w:t xml:space="preserve"> основи земельної ренти;</w:t>
      </w:r>
    </w:p>
    <w:p w:rsidR="000E24B6" w:rsidRPr="008F0289" w:rsidRDefault="000E24B6" w:rsidP="00D6536B">
      <w:pPr>
        <w:spacing w:after="0" w:line="240" w:lineRule="auto"/>
        <w:jc w:val="both"/>
        <w:rPr>
          <w:rFonts w:ascii="Times New Roman" w:hAnsi="Times New Roman" w:cs="Times New Roman"/>
          <w:color w:val="000000" w:themeColor="text1"/>
          <w:sz w:val="28"/>
          <w:szCs w:val="28"/>
        </w:rPr>
      </w:pPr>
      <w:r w:rsidRPr="008F0289">
        <w:rPr>
          <w:rFonts w:ascii="Times New Roman" w:hAnsi="Times New Roman" w:cs="Times New Roman"/>
          <w:color w:val="000000" w:themeColor="text1"/>
          <w:sz w:val="28"/>
          <w:szCs w:val="28"/>
        </w:rPr>
        <w:tab/>
        <w:t xml:space="preserve">- </w:t>
      </w:r>
      <w:proofErr w:type="spellStart"/>
      <w:r w:rsidRPr="008F0289">
        <w:rPr>
          <w:rFonts w:ascii="Times New Roman" w:hAnsi="Times New Roman" w:cs="Times New Roman"/>
          <w:color w:val="000000" w:themeColor="text1"/>
          <w:sz w:val="28"/>
          <w:szCs w:val="28"/>
        </w:rPr>
        <w:t>Взаємозвязок</w:t>
      </w:r>
      <w:proofErr w:type="spellEnd"/>
      <w:r w:rsidRPr="008F0289">
        <w:rPr>
          <w:rFonts w:ascii="Times New Roman" w:hAnsi="Times New Roman" w:cs="Times New Roman"/>
          <w:color w:val="000000" w:themeColor="text1"/>
          <w:sz w:val="28"/>
          <w:szCs w:val="28"/>
        </w:rPr>
        <w:t xml:space="preserve"> між земельною рентою та рівнем соціальної нерівності;</w:t>
      </w:r>
    </w:p>
    <w:p w:rsidR="000E24B6" w:rsidRPr="00D6536B" w:rsidRDefault="000E24B6" w:rsidP="00D6536B">
      <w:pPr>
        <w:spacing w:after="0" w:line="240" w:lineRule="auto"/>
        <w:jc w:val="both"/>
        <w:rPr>
          <w:rFonts w:ascii="Times New Roman" w:hAnsi="Times New Roman" w:cs="Times New Roman"/>
          <w:color w:val="000000" w:themeColor="text1"/>
          <w:sz w:val="28"/>
          <w:szCs w:val="28"/>
        </w:rPr>
      </w:pPr>
      <w:r w:rsidRPr="008F0289">
        <w:rPr>
          <w:rFonts w:ascii="Times New Roman" w:hAnsi="Times New Roman" w:cs="Times New Roman"/>
          <w:color w:val="000000" w:themeColor="text1"/>
          <w:sz w:val="28"/>
          <w:szCs w:val="28"/>
        </w:rPr>
        <w:tab/>
        <w:t>- Напрями вдосконалення політики регулювання земельної ренти для забезпечення соціальної справедливості;</w:t>
      </w:r>
    </w:p>
    <w:p w:rsidR="00D6536B" w:rsidRPr="00D6536B" w:rsidRDefault="00D6536B" w:rsidP="00D6536B">
      <w:pPr>
        <w:spacing w:after="0" w:line="240" w:lineRule="auto"/>
        <w:jc w:val="both"/>
        <w:rPr>
          <w:rFonts w:ascii="Times New Roman" w:eastAsia="Times New Roman" w:hAnsi="Times New Roman" w:cs="Times New Roman"/>
          <w:color w:val="000000" w:themeColor="text1"/>
          <w:sz w:val="28"/>
          <w:szCs w:val="28"/>
        </w:rPr>
      </w:pPr>
      <w:r w:rsidRPr="00D6536B">
        <w:rPr>
          <w:rFonts w:ascii="Times New Roman" w:eastAsia="Times New Roman" w:hAnsi="Times New Roman" w:cs="Times New Roman"/>
          <w:color w:val="000000" w:themeColor="text1"/>
          <w:sz w:val="28"/>
          <w:szCs w:val="28"/>
        </w:rPr>
        <w:t>5. Перелік графічного матеріалу (</w:t>
      </w:r>
      <w:r w:rsidRPr="00D6536B">
        <w:rPr>
          <w:rFonts w:ascii="Times New Roman" w:eastAsia="Times New Roman" w:hAnsi="Times New Roman" w:cs="Times New Roman"/>
          <w:color w:val="000000" w:themeColor="text1"/>
          <w:spacing w:val="-10"/>
          <w:sz w:val="28"/>
          <w:szCs w:val="28"/>
        </w:rPr>
        <w:t>з точним зазначенням обов’язкових креслень</w:t>
      </w:r>
      <w:r w:rsidRPr="00D6536B">
        <w:rPr>
          <w:rFonts w:ascii="Times New Roman" w:eastAsia="Times New Roman" w:hAnsi="Times New Roman" w:cs="Times New Roman"/>
          <w:color w:val="000000" w:themeColor="text1"/>
          <w:sz w:val="28"/>
          <w:szCs w:val="28"/>
        </w:rPr>
        <w:t xml:space="preserve">): кваліфікаційна робота містить </w:t>
      </w:r>
      <w:r w:rsidR="000E24B6" w:rsidRPr="008F0289">
        <w:rPr>
          <w:rFonts w:ascii="Times New Roman" w:eastAsia="Times New Roman" w:hAnsi="Times New Roman" w:cs="Times New Roman"/>
          <w:color w:val="000000" w:themeColor="text1"/>
          <w:sz w:val="28"/>
          <w:szCs w:val="28"/>
        </w:rPr>
        <w:t>графічний матеріал у другому розділі при аналізі динаміки рентної плати</w:t>
      </w:r>
      <w:r w:rsidR="008F0289" w:rsidRPr="008F0289">
        <w:rPr>
          <w:rFonts w:ascii="Times New Roman" w:eastAsia="Times New Roman" w:hAnsi="Times New Roman" w:cs="Times New Roman"/>
          <w:color w:val="000000" w:themeColor="text1"/>
          <w:sz w:val="28"/>
          <w:szCs w:val="28"/>
        </w:rPr>
        <w:t>.</w:t>
      </w:r>
    </w:p>
    <w:p w:rsidR="00D6536B" w:rsidRPr="00D6536B" w:rsidRDefault="00D6536B" w:rsidP="00D6536B">
      <w:pPr>
        <w:spacing w:after="0" w:line="240" w:lineRule="auto"/>
        <w:jc w:val="both"/>
        <w:rPr>
          <w:rFonts w:ascii="Times New Roman" w:eastAsia="Times New Roman" w:hAnsi="Times New Roman" w:cs="Times New Roman"/>
          <w:color w:val="000000" w:themeColor="text1"/>
          <w:sz w:val="28"/>
          <w:szCs w:val="28"/>
        </w:rPr>
      </w:pPr>
      <w:r w:rsidRPr="00D6536B">
        <w:rPr>
          <w:rFonts w:ascii="Times New Roman" w:eastAsia="Times New Roman" w:hAnsi="Times New Roman" w:cs="Times New Roman"/>
          <w:color w:val="000000" w:themeColor="text1"/>
          <w:sz w:val="28"/>
          <w:szCs w:val="28"/>
        </w:rPr>
        <w:t>6. Консультанти розділів роботи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2270"/>
        <w:gridCol w:w="2270"/>
      </w:tblGrid>
      <w:tr w:rsidR="008F0289" w:rsidRPr="00D6536B" w:rsidTr="00EA1D25">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Розділ</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 xml:space="preserve">Прізвище, ініціали та посада </w:t>
            </w:r>
          </w:p>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консультанта</w:t>
            </w:r>
          </w:p>
        </w:tc>
        <w:tc>
          <w:tcPr>
            <w:tcW w:w="4540" w:type="dxa"/>
            <w:gridSpan w:val="2"/>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Підпис, дата</w:t>
            </w:r>
          </w:p>
        </w:tc>
      </w:tr>
      <w:tr w:rsidR="008F0289" w:rsidRPr="00D6536B" w:rsidTr="00EA1D25">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завдання</w:t>
            </w:r>
          </w:p>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видав</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завдання</w:t>
            </w:r>
          </w:p>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прийняв</w:t>
            </w:r>
          </w:p>
        </w:tc>
      </w:tr>
      <w:tr w:rsidR="008F0289" w:rsidRPr="00D6536B" w:rsidTr="00EA1D25">
        <w:tc>
          <w:tcPr>
            <w:tcW w:w="156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lastRenderedPageBreak/>
              <w:t>1</w:t>
            </w:r>
          </w:p>
        </w:tc>
        <w:tc>
          <w:tcPr>
            <w:tcW w:w="3260" w:type="dxa"/>
            <w:tcBorders>
              <w:top w:val="single" w:sz="4" w:space="0" w:color="auto"/>
              <w:left w:val="single" w:sz="4" w:space="0" w:color="auto"/>
              <w:bottom w:val="single" w:sz="4" w:space="0" w:color="auto"/>
              <w:right w:val="single" w:sz="4" w:space="0" w:color="auto"/>
            </w:tcBorders>
            <w:hideMark/>
          </w:tcPr>
          <w:p w:rsidR="00D6536B" w:rsidRPr="00D6536B" w:rsidRDefault="00972C5A" w:rsidP="00D6536B">
            <w:pPr>
              <w:spacing w:after="0" w:line="240" w:lineRule="auto"/>
              <w:jc w:val="center"/>
              <w:rPr>
                <w:rFonts w:ascii="Times New Roman" w:hAnsi="Times New Roman" w:cs="Times New Roman"/>
                <w:color w:val="000000" w:themeColor="text1"/>
                <w:sz w:val="28"/>
                <w:szCs w:val="28"/>
              </w:rPr>
            </w:pPr>
            <w:r w:rsidRPr="008F0289">
              <w:rPr>
                <w:rFonts w:ascii="Times New Roman" w:hAnsi="Times New Roman" w:cs="Times New Roman"/>
                <w:color w:val="000000" w:themeColor="text1"/>
                <w:sz w:val="28"/>
                <w:szCs w:val="28"/>
              </w:rPr>
              <w:t xml:space="preserve">Бабміндра Д.І., д.е.н., професор </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05.08.2024 р.</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05.08.2024 р.</w:t>
            </w:r>
          </w:p>
        </w:tc>
      </w:tr>
      <w:tr w:rsidR="008F0289" w:rsidRPr="00D6536B" w:rsidTr="00EA1D25">
        <w:tc>
          <w:tcPr>
            <w:tcW w:w="156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2</w:t>
            </w:r>
          </w:p>
        </w:tc>
        <w:tc>
          <w:tcPr>
            <w:tcW w:w="3260" w:type="dxa"/>
            <w:tcBorders>
              <w:top w:val="single" w:sz="4" w:space="0" w:color="auto"/>
              <w:left w:val="single" w:sz="4" w:space="0" w:color="auto"/>
              <w:bottom w:val="single" w:sz="4" w:space="0" w:color="auto"/>
              <w:right w:val="single" w:sz="4" w:space="0" w:color="auto"/>
            </w:tcBorders>
            <w:hideMark/>
          </w:tcPr>
          <w:p w:rsidR="00D6536B" w:rsidRPr="00D6536B" w:rsidRDefault="00972C5A" w:rsidP="00D6536B">
            <w:pPr>
              <w:spacing w:after="0" w:line="240" w:lineRule="auto"/>
              <w:jc w:val="center"/>
              <w:rPr>
                <w:rFonts w:ascii="Times New Roman" w:hAnsi="Times New Roman" w:cs="Times New Roman"/>
                <w:color w:val="000000" w:themeColor="text1"/>
                <w:sz w:val="28"/>
                <w:szCs w:val="28"/>
              </w:rPr>
            </w:pPr>
            <w:r w:rsidRPr="008F0289">
              <w:rPr>
                <w:rFonts w:ascii="Times New Roman" w:hAnsi="Times New Roman" w:cs="Times New Roman"/>
                <w:color w:val="000000" w:themeColor="text1"/>
                <w:sz w:val="28"/>
                <w:szCs w:val="28"/>
              </w:rPr>
              <w:t>Бабміндра Д.І., д.е.н., професор</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09.09.2024 р.</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09.09.2024 р.</w:t>
            </w:r>
          </w:p>
        </w:tc>
      </w:tr>
      <w:tr w:rsidR="008F0289" w:rsidRPr="00D6536B" w:rsidTr="00EA1D25">
        <w:tc>
          <w:tcPr>
            <w:tcW w:w="156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jc w:val="center"/>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3</w:t>
            </w:r>
          </w:p>
        </w:tc>
        <w:tc>
          <w:tcPr>
            <w:tcW w:w="3260" w:type="dxa"/>
            <w:tcBorders>
              <w:top w:val="single" w:sz="4" w:space="0" w:color="auto"/>
              <w:left w:val="single" w:sz="4" w:space="0" w:color="auto"/>
              <w:bottom w:val="single" w:sz="4" w:space="0" w:color="auto"/>
              <w:right w:val="single" w:sz="4" w:space="0" w:color="auto"/>
            </w:tcBorders>
            <w:hideMark/>
          </w:tcPr>
          <w:p w:rsidR="00D6536B" w:rsidRPr="00D6536B" w:rsidRDefault="00972C5A" w:rsidP="00D6536B">
            <w:pPr>
              <w:spacing w:after="0" w:line="240" w:lineRule="auto"/>
              <w:jc w:val="center"/>
              <w:rPr>
                <w:rFonts w:ascii="Times New Roman" w:hAnsi="Times New Roman" w:cs="Times New Roman"/>
                <w:color w:val="000000" w:themeColor="text1"/>
                <w:sz w:val="28"/>
                <w:szCs w:val="28"/>
              </w:rPr>
            </w:pPr>
            <w:r w:rsidRPr="008F0289">
              <w:rPr>
                <w:rFonts w:ascii="Times New Roman" w:hAnsi="Times New Roman" w:cs="Times New Roman"/>
                <w:color w:val="000000" w:themeColor="text1"/>
                <w:sz w:val="28"/>
                <w:szCs w:val="28"/>
              </w:rPr>
              <w:t>Бабміндра Д.І., д.е.н., професор</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03.10.2024 р.</w:t>
            </w:r>
          </w:p>
        </w:tc>
        <w:tc>
          <w:tcPr>
            <w:tcW w:w="2270" w:type="dxa"/>
            <w:tcBorders>
              <w:top w:val="single" w:sz="4" w:space="0" w:color="auto"/>
              <w:left w:val="single" w:sz="4" w:space="0" w:color="auto"/>
              <w:bottom w:val="single" w:sz="4" w:space="0" w:color="auto"/>
              <w:right w:val="single" w:sz="4" w:space="0" w:color="auto"/>
            </w:tcBorders>
            <w:hideMark/>
          </w:tcPr>
          <w:p w:rsidR="00D6536B" w:rsidRPr="00D6536B" w:rsidRDefault="00D6536B" w:rsidP="00D6536B">
            <w:pPr>
              <w:spacing w:after="0" w:line="240" w:lineRule="auto"/>
              <w:rPr>
                <w:rFonts w:ascii="Times New Roman" w:hAnsi="Times New Roman" w:cs="Times New Roman"/>
                <w:color w:val="000000" w:themeColor="text1"/>
                <w:sz w:val="28"/>
                <w:szCs w:val="28"/>
              </w:rPr>
            </w:pPr>
            <w:r w:rsidRPr="00D6536B">
              <w:rPr>
                <w:rFonts w:ascii="Times New Roman" w:hAnsi="Times New Roman" w:cs="Times New Roman"/>
                <w:color w:val="000000" w:themeColor="text1"/>
                <w:sz w:val="28"/>
                <w:szCs w:val="28"/>
              </w:rPr>
              <w:t>03.10.2024 р.</w:t>
            </w:r>
          </w:p>
        </w:tc>
      </w:tr>
    </w:tbl>
    <w:p w:rsidR="00D6536B" w:rsidRPr="00D6536B" w:rsidRDefault="00D6536B" w:rsidP="00D6536B">
      <w:pPr>
        <w:spacing w:after="0" w:line="240" w:lineRule="auto"/>
        <w:jc w:val="center"/>
        <w:rPr>
          <w:rFonts w:ascii="Times New Roman" w:hAnsi="Times New Roman" w:cs="Times New Roman"/>
          <w:b/>
          <w:color w:val="000000" w:themeColor="text1"/>
          <w:sz w:val="28"/>
          <w:szCs w:val="28"/>
        </w:rPr>
      </w:pPr>
    </w:p>
    <w:p w:rsidR="00D6536B" w:rsidRPr="00D6536B" w:rsidRDefault="00D6536B" w:rsidP="00D6536B">
      <w:pPr>
        <w:spacing w:after="0" w:line="240" w:lineRule="auto"/>
        <w:jc w:val="both"/>
        <w:rPr>
          <w:rFonts w:ascii="Times New Roman" w:hAnsi="Times New Roman" w:cs="Times New Roman"/>
          <w:b/>
          <w:color w:val="000000" w:themeColor="text1"/>
          <w:sz w:val="28"/>
          <w:szCs w:val="28"/>
        </w:rPr>
      </w:pPr>
      <w:r w:rsidRPr="00D6536B">
        <w:rPr>
          <w:rFonts w:ascii="Times New Roman" w:hAnsi="Times New Roman" w:cs="Times New Roman"/>
          <w:color w:val="000000" w:themeColor="text1"/>
          <w:sz w:val="28"/>
          <w:szCs w:val="28"/>
        </w:rPr>
        <w:t>7. Дата видачі завдання: 24 червня 2024 року</w:t>
      </w:r>
    </w:p>
    <w:p w:rsidR="00157919" w:rsidRDefault="00157919" w:rsidP="00157919">
      <w:pPr>
        <w:keepNext/>
        <w:keepLines/>
        <w:spacing w:after="0" w:line="276" w:lineRule="auto"/>
        <w:outlineLvl w:val="3"/>
        <w:rPr>
          <w:rFonts w:ascii="Times New Roman" w:eastAsiaTheme="majorEastAsia" w:hAnsi="Times New Roman" w:cstheme="majorBidi"/>
          <w:b/>
          <w:bCs/>
          <w:iCs/>
          <w:sz w:val="28"/>
          <w:szCs w:val="28"/>
        </w:rPr>
      </w:pPr>
    </w:p>
    <w:p w:rsidR="00157919" w:rsidRPr="00D6536B" w:rsidRDefault="00157919" w:rsidP="00157919">
      <w:pPr>
        <w:keepNext/>
        <w:keepLines/>
        <w:spacing w:after="0" w:line="276" w:lineRule="auto"/>
        <w:jc w:val="center"/>
        <w:outlineLvl w:val="3"/>
        <w:rPr>
          <w:rFonts w:ascii="Times New Roman" w:eastAsiaTheme="majorEastAsia" w:hAnsi="Times New Roman" w:cstheme="majorBidi"/>
          <w:b/>
          <w:bCs/>
          <w:iCs/>
          <w:sz w:val="28"/>
          <w:szCs w:val="28"/>
        </w:rPr>
      </w:pPr>
      <w:r w:rsidRPr="00D6536B">
        <w:rPr>
          <w:rFonts w:ascii="Times New Roman" w:eastAsiaTheme="majorEastAsia" w:hAnsi="Times New Roman" w:cstheme="majorBidi"/>
          <w:b/>
          <w:bCs/>
          <w:iCs/>
          <w:sz w:val="28"/>
          <w:szCs w:val="28"/>
        </w:rPr>
        <w:t>КАЛЕНДАРНИЙ ПЛАН</w:t>
      </w:r>
    </w:p>
    <w:p w:rsidR="00D6536B" w:rsidRPr="00D6536B" w:rsidRDefault="00D6536B" w:rsidP="00D6536B">
      <w:pPr>
        <w:spacing w:after="0" w:line="240" w:lineRule="auto"/>
        <w:rPr>
          <w:rFonts w:ascii="Times New Roman" w:hAnsi="Times New Roman" w:cs="Times New Roman"/>
          <w:b/>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473"/>
        <w:gridCol w:w="2524"/>
        <w:gridCol w:w="1796"/>
      </w:tblGrid>
      <w:tr w:rsidR="00D6536B" w:rsidRPr="00D6536B" w:rsidTr="00EA1D25">
        <w:trPr>
          <w:cantSplit/>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 з/п</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Назва етапів кваліфікаційної роботи</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Строк виконання етапів роботи</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Примітка</w:t>
            </w:r>
          </w:p>
        </w:tc>
      </w:tr>
      <w:tr w:rsidR="00D6536B" w:rsidRPr="00D6536B" w:rsidTr="00EA1D25">
        <w:trPr>
          <w:cantSplit/>
          <w:trHeight w:val="644"/>
        </w:trPr>
        <w:tc>
          <w:tcPr>
            <w:tcW w:w="567"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1.</w:t>
            </w:r>
          </w:p>
        </w:tc>
        <w:tc>
          <w:tcPr>
            <w:tcW w:w="4473"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Вибір теми</w:t>
            </w:r>
          </w:p>
        </w:tc>
        <w:tc>
          <w:tcPr>
            <w:tcW w:w="2524"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06.11.2023 –</w:t>
            </w:r>
          </w:p>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18.12.2023</w:t>
            </w:r>
          </w:p>
        </w:tc>
        <w:tc>
          <w:tcPr>
            <w:tcW w:w="1796"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76" w:lineRule="auto"/>
              <w:jc w:val="center"/>
              <w:rPr>
                <w:rFonts w:ascii="Times New Roman" w:hAnsi="Times New Roman" w:cs="Times New Roman"/>
                <w:sz w:val="28"/>
                <w:szCs w:val="28"/>
                <w:lang w:val="ru-RU"/>
              </w:rPr>
            </w:pPr>
            <w:r w:rsidRPr="00D6536B">
              <w:rPr>
                <w:rFonts w:ascii="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2.</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Складання бібліографії та вивчення літературних джерел</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24.06.2024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15.07.2024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76" w:lineRule="auto"/>
              <w:jc w:val="center"/>
              <w:rPr>
                <w:rFonts w:ascii="Times New Roman" w:hAnsi="Times New Roman" w:cs="Times New Roman"/>
                <w:sz w:val="28"/>
                <w:szCs w:val="28"/>
                <w:lang w:val="ru-RU"/>
              </w:rPr>
            </w:pPr>
            <w:r w:rsidRPr="00D6536B">
              <w:rPr>
                <w:rFonts w:ascii="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3.</w:t>
            </w:r>
          </w:p>
        </w:tc>
        <w:tc>
          <w:tcPr>
            <w:tcW w:w="4473"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 xml:space="preserve">Складання плану </w:t>
            </w:r>
          </w:p>
        </w:tc>
        <w:tc>
          <w:tcPr>
            <w:tcW w:w="2524"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22.07.2024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30.07.2024</w:t>
            </w:r>
          </w:p>
        </w:tc>
        <w:tc>
          <w:tcPr>
            <w:tcW w:w="1796" w:type="dxa"/>
            <w:tcBorders>
              <w:top w:val="single" w:sz="4" w:space="0" w:color="auto"/>
              <w:left w:val="single" w:sz="4" w:space="0" w:color="auto"/>
              <w:bottom w:val="single" w:sz="4" w:space="0" w:color="auto"/>
              <w:right w:val="single" w:sz="4" w:space="0" w:color="auto"/>
            </w:tcBorders>
            <w:vAlign w:val="center"/>
          </w:tcPr>
          <w:p w:rsidR="00D6536B" w:rsidRPr="00D6536B" w:rsidRDefault="00D6536B" w:rsidP="00D6536B">
            <w:pPr>
              <w:spacing w:after="0" w:line="276" w:lineRule="auto"/>
              <w:jc w:val="center"/>
              <w:rPr>
                <w:rFonts w:ascii="Times New Roman" w:hAnsi="Times New Roman" w:cs="Times New Roman"/>
                <w:sz w:val="28"/>
                <w:szCs w:val="28"/>
                <w:lang w:val="ru-RU"/>
              </w:rPr>
            </w:pPr>
            <w:r w:rsidRPr="00D6536B">
              <w:rPr>
                <w:rFonts w:ascii="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4.</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Виконання вступу</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01.08.2024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04.08.2024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5.</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Виконання розділу 1</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05.08.2024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08.09.2024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6.</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Виконання розділу 2</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09.09.2024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02.10.2024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7.</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Виконання розділу 3</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03.10.2024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20.10.2024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8.</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Формулювання висновків</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21.10.2024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27.10.2024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9.</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Оформлення роботи, одержання відгуку та рецензії</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28.10.2024 р. –</w:t>
            </w:r>
          </w:p>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10.11.2024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r w:rsidR="00D6536B" w:rsidRPr="00D6536B" w:rsidTr="00EA1D25">
        <w:trPr>
          <w:trHeight w:val="644"/>
        </w:trPr>
        <w:tc>
          <w:tcPr>
            <w:tcW w:w="567"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hAnsi="Times New Roman" w:cs="Times New Roman"/>
                <w:sz w:val="28"/>
                <w:szCs w:val="28"/>
              </w:rPr>
            </w:pPr>
            <w:r w:rsidRPr="00D6536B">
              <w:rPr>
                <w:rFonts w:ascii="Times New Roman" w:hAnsi="Times New Roman" w:cs="Times New Roman"/>
                <w:sz w:val="28"/>
                <w:szCs w:val="28"/>
              </w:rPr>
              <w:t>10.</w:t>
            </w:r>
          </w:p>
        </w:tc>
        <w:tc>
          <w:tcPr>
            <w:tcW w:w="4473"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Подання роботи на кафедру</w:t>
            </w:r>
          </w:p>
        </w:tc>
        <w:tc>
          <w:tcPr>
            <w:tcW w:w="2524"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widowControl w:val="0"/>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18.11.2024 р.</w:t>
            </w:r>
          </w:p>
        </w:tc>
        <w:tc>
          <w:tcPr>
            <w:tcW w:w="1796" w:type="dxa"/>
            <w:tcBorders>
              <w:top w:val="single" w:sz="4" w:space="0" w:color="auto"/>
              <w:left w:val="single" w:sz="4" w:space="0" w:color="auto"/>
              <w:bottom w:val="single" w:sz="4" w:space="0" w:color="auto"/>
              <w:right w:val="single" w:sz="4" w:space="0" w:color="auto"/>
            </w:tcBorders>
            <w:vAlign w:val="center"/>
            <w:hideMark/>
          </w:tcPr>
          <w:p w:rsidR="00D6536B" w:rsidRPr="00D6536B" w:rsidRDefault="00D6536B" w:rsidP="00D6536B">
            <w:pPr>
              <w:spacing w:after="0" w:line="240" w:lineRule="auto"/>
              <w:jc w:val="center"/>
              <w:rPr>
                <w:rFonts w:ascii="Times New Roman" w:eastAsia="Times New Roman" w:hAnsi="Times New Roman" w:cs="Times New Roman"/>
                <w:sz w:val="28"/>
                <w:szCs w:val="28"/>
              </w:rPr>
            </w:pPr>
            <w:r w:rsidRPr="00D6536B">
              <w:rPr>
                <w:rFonts w:ascii="Times New Roman" w:eastAsia="Times New Roman" w:hAnsi="Times New Roman" w:cs="Times New Roman"/>
                <w:sz w:val="28"/>
                <w:szCs w:val="28"/>
              </w:rPr>
              <w:t>виконано</w:t>
            </w:r>
          </w:p>
        </w:tc>
      </w:tr>
    </w:tbl>
    <w:p w:rsidR="00D6536B" w:rsidRPr="00D6536B" w:rsidRDefault="00D6536B" w:rsidP="00D6536B">
      <w:pPr>
        <w:spacing w:after="0" w:line="240" w:lineRule="auto"/>
        <w:jc w:val="both"/>
        <w:rPr>
          <w:rFonts w:ascii="Times New Roman" w:hAnsi="Times New Roman" w:cs="Times New Roman"/>
          <w:b/>
          <w:color w:val="FF0000"/>
          <w:sz w:val="28"/>
          <w:szCs w:val="28"/>
        </w:rPr>
      </w:pPr>
    </w:p>
    <w:p w:rsidR="00D6536B" w:rsidRPr="00D6536B" w:rsidRDefault="00D6536B" w:rsidP="00D6536B">
      <w:pPr>
        <w:spacing w:after="0" w:line="240" w:lineRule="auto"/>
        <w:jc w:val="both"/>
        <w:rPr>
          <w:rFonts w:ascii="Times New Roman" w:hAnsi="Times New Roman" w:cs="Times New Roman"/>
          <w:b/>
          <w:color w:val="000000" w:themeColor="text1"/>
          <w:sz w:val="28"/>
          <w:szCs w:val="28"/>
        </w:rPr>
      </w:pPr>
    </w:p>
    <w:p w:rsidR="00D6536B" w:rsidRPr="00D6536B" w:rsidRDefault="00D6536B" w:rsidP="00D6536B">
      <w:pPr>
        <w:spacing w:after="0" w:line="240" w:lineRule="auto"/>
        <w:jc w:val="both"/>
        <w:rPr>
          <w:rFonts w:ascii="Times New Roman" w:hAnsi="Times New Roman" w:cs="Times New Roman"/>
          <w:bCs/>
          <w:color w:val="000000" w:themeColor="text1"/>
          <w:sz w:val="28"/>
          <w:szCs w:val="28"/>
        </w:rPr>
      </w:pPr>
      <w:r w:rsidRPr="00D6536B">
        <w:rPr>
          <w:rFonts w:ascii="Times New Roman" w:hAnsi="Times New Roman" w:cs="Times New Roman"/>
          <w:color w:val="000000" w:themeColor="text1"/>
          <w:sz w:val="28"/>
          <w:szCs w:val="28"/>
        </w:rPr>
        <w:t>Студент _______________</w:t>
      </w:r>
      <w:r w:rsidRPr="00D6536B">
        <w:rPr>
          <w:rFonts w:ascii="Times New Roman" w:hAnsi="Times New Roman" w:cs="Times New Roman"/>
          <w:color w:val="000000" w:themeColor="text1"/>
          <w:sz w:val="28"/>
          <w:szCs w:val="28"/>
        </w:rPr>
        <w:tab/>
      </w:r>
      <w:r w:rsidR="00972C5A" w:rsidRPr="008F0289">
        <w:rPr>
          <w:rFonts w:ascii="Times New Roman" w:hAnsi="Times New Roman" w:cs="Times New Roman"/>
          <w:color w:val="000000" w:themeColor="text1"/>
          <w:sz w:val="28"/>
          <w:szCs w:val="28"/>
          <w:u w:val="single"/>
        </w:rPr>
        <w:t>Бондаренко В. Г</w:t>
      </w:r>
      <w:r w:rsidR="000E24B6" w:rsidRPr="008F0289">
        <w:rPr>
          <w:rFonts w:ascii="Times New Roman" w:hAnsi="Times New Roman" w:cs="Times New Roman"/>
          <w:color w:val="000000" w:themeColor="text1"/>
          <w:sz w:val="28"/>
          <w:szCs w:val="28"/>
          <w:u w:val="single"/>
        </w:rPr>
        <w:t>.</w:t>
      </w:r>
    </w:p>
    <w:p w:rsidR="00D6536B" w:rsidRPr="00D6536B" w:rsidRDefault="00D6536B" w:rsidP="00D6536B">
      <w:pPr>
        <w:spacing w:after="0" w:line="240" w:lineRule="auto"/>
        <w:jc w:val="both"/>
        <w:rPr>
          <w:rFonts w:ascii="Times New Roman" w:hAnsi="Times New Roman" w:cs="Times New Roman"/>
          <w:b/>
          <w:color w:val="000000" w:themeColor="text1"/>
          <w:sz w:val="28"/>
          <w:szCs w:val="28"/>
        </w:rPr>
      </w:pPr>
      <w:r w:rsidRPr="00D6536B">
        <w:rPr>
          <w:rFonts w:ascii="Times New Roman" w:hAnsi="Times New Roman" w:cs="Times New Roman"/>
          <w:bCs/>
          <w:color w:val="000000" w:themeColor="text1"/>
          <w:sz w:val="28"/>
          <w:szCs w:val="28"/>
        </w:rPr>
        <w:t xml:space="preserve">                          </w:t>
      </w:r>
      <w:r w:rsidRPr="00D6536B">
        <w:rPr>
          <w:rFonts w:ascii="Times New Roman" w:hAnsi="Times New Roman" w:cs="Times New Roman"/>
          <w:bCs/>
          <w:color w:val="000000" w:themeColor="text1"/>
          <w:sz w:val="28"/>
          <w:szCs w:val="28"/>
          <w:vertAlign w:val="superscript"/>
        </w:rPr>
        <w:t>(підпис)                                   (ініціали  та прізвище)</w:t>
      </w:r>
    </w:p>
    <w:p w:rsidR="00D6536B" w:rsidRPr="00D6536B" w:rsidRDefault="00D6536B" w:rsidP="00D6536B">
      <w:pPr>
        <w:spacing w:after="0" w:line="240" w:lineRule="auto"/>
        <w:jc w:val="both"/>
        <w:rPr>
          <w:rFonts w:ascii="Times New Roman" w:hAnsi="Times New Roman" w:cs="Times New Roman"/>
          <w:bCs/>
          <w:color w:val="000000" w:themeColor="text1"/>
          <w:sz w:val="28"/>
          <w:szCs w:val="28"/>
        </w:rPr>
      </w:pPr>
      <w:r w:rsidRPr="00D6536B">
        <w:rPr>
          <w:rFonts w:ascii="Times New Roman" w:hAnsi="Times New Roman" w:cs="Times New Roman"/>
          <w:color w:val="000000" w:themeColor="text1"/>
          <w:sz w:val="28"/>
          <w:szCs w:val="28"/>
        </w:rPr>
        <w:t>Керівник роботи _______________</w:t>
      </w:r>
      <w:r w:rsidRPr="00D6536B">
        <w:rPr>
          <w:rFonts w:ascii="Times New Roman" w:hAnsi="Times New Roman" w:cs="Times New Roman"/>
          <w:color w:val="000000" w:themeColor="text1"/>
          <w:sz w:val="28"/>
          <w:szCs w:val="28"/>
        </w:rPr>
        <w:tab/>
      </w:r>
      <w:r w:rsidR="000E24B6" w:rsidRPr="008F0289">
        <w:rPr>
          <w:rFonts w:ascii="Times New Roman" w:hAnsi="Times New Roman" w:cs="Times New Roman"/>
          <w:color w:val="000000" w:themeColor="text1"/>
          <w:sz w:val="28"/>
          <w:szCs w:val="28"/>
          <w:u w:val="single"/>
        </w:rPr>
        <w:t>Бабміндра Д.І.</w:t>
      </w:r>
    </w:p>
    <w:p w:rsidR="00D6536B" w:rsidRPr="00D6536B" w:rsidRDefault="00D6536B" w:rsidP="00D6536B">
      <w:pPr>
        <w:spacing w:after="0" w:line="240" w:lineRule="auto"/>
        <w:jc w:val="both"/>
        <w:rPr>
          <w:rFonts w:ascii="Times New Roman" w:hAnsi="Times New Roman" w:cs="Times New Roman"/>
          <w:b/>
          <w:color w:val="000000" w:themeColor="text1"/>
          <w:sz w:val="28"/>
          <w:szCs w:val="28"/>
        </w:rPr>
      </w:pPr>
      <w:r w:rsidRPr="00D6536B">
        <w:rPr>
          <w:rFonts w:ascii="Times New Roman" w:hAnsi="Times New Roman" w:cs="Times New Roman"/>
          <w:bCs/>
          <w:color w:val="000000" w:themeColor="text1"/>
          <w:sz w:val="28"/>
          <w:szCs w:val="28"/>
        </w:rPr>
        <w:t xml:space="preserve">                                          </w:t>
      </w:r>
      <w:r w:rsidRPr="00D6536B">
        <w:rPr>
          <w:rFonts w:ascii="Times New Roman" w:hAnsi="Times New Roman" w:cs="Times New Roman"/>
          <w:bCs/>
          <w:color w:val="000000" w:themeColor="text1"/>
          <w:sz w:val="28"/>
          <w:szCs w:val="28"/>
          <w:vertAlign w:val="superscript"/>
        </w:rPr>
        <w:t>(підпис)                                   (ініціали  та прізвище)</w:t>
      </w:r>
    </w:p>
    <w:p w:rsidR="00D6536B" w:rsidRPr="00D6536B" w:rsidRDefault="00D6536B" w:rsidP="00D6536B">
      <w:pPr>
        <w:spacing w:after="0" w:line="240" w:lineRule="auto"/>
        <w:jc w:val="both"/>
        <w:rPr>
          <w:rFonts w:ascii="Times New Roman" w:hAnsi="Times New Roman" w:cs="Times New Roman"/>
          <w:b/>
          <w:color w:val="000000" w:themeColor="text1"/>
          <w:sz w:val="28"/>
          <w:szCs w:val="28"/>
        </w:rPr>
      </w:pPr>
      <w:r w:rsidRPr="00D6536B">
        <w:rPr>
          <w:rFonts w:ascii="Times New Roman" w:hAnsi="Times New Roman" w:cs="Times New Roman"/>
          <w:b/>
          <w:color w:val="000000" w:themeColor="text1"/>
          <w:sz w:val="28"/>
          <w:szCs w:val="28"/>
        </w:rPr>
        <w:t>Нормоконтроль пройдено</w:t>
      </w:r>
    </w:p>
    <w:p w:rsidR="00D6536B" w:rsidRPr="00D6536B" w:rsidRDefault="00D6536B" w:rsidP="00D6536B">
      <w:pPr>
        <w:spacing w:after="0" w:line="240" w:lineRule="auto"/>
        <w:jc w:val="both"/>
        <w:rPr>
          <w:rFonts w:ascii="Times New Roman" w:hAnsi="Times New Roman" w:cs="Times New Roman"/>
          <w:color w:val="000000" w:themeColor="text1"/>
          <w:sz w:val="28"/>
          <w:szCs w:val="28"/>
        </w:rPr>
      </w:pPr>
    </w:p>
    <w:p w:rsidR="00D6536B" w:rsidRPr="00D6536B" w:rsidRDefault="00D6536B" w:rsidP="00D6536B">
      <w:pPr>
        <w:spacing w:after="0" w:line="240" w:lineRule="auto"/>
        <w:jc w:val="both"/>
        <w:rPr>
          <w:rFonts w:ascii="Times New Roman" w:hAnsi="Times New Roman" w:cs="Times New Roman"/>
          <w:bCs/>
          <w:color w:val="000000" w:themeColor="text1"/>
          <w:sz w:val="28"/>
          <w:szCs w:val="28"/>
        </w:rPr>
      </w:pPr>
      <w:r w:rsidRPr="00D6536B">
        <w:rPr>
          <w:rFonts w:ascii="Times New Roman" w:hAnsi="Times New Roman" w:cs="Times New Roman"/>
          <w:color w:val="000000" w:themeColor="text1"/>
          <w:sz w:val="28"/>
          <w:szCs w:val="28"/>
        </w:rPr>
        <w:t>Нормоконтролер _______________</w:t>
      </w:r>
      <w:r w:rsidRPr="00D6536B">
        <w:rPr>
          <w:rFonts w:ascii="Times New Roman" w:hAnsi="Times New Roman" w:cs="Times New Roman"/>
          <w:color w:val="000000" w:themeColor="text1"/>
          <w:sz w:val="28"/>
          <w:szCs w:val="28"/>
        </w:rPr>
        <w:tab/>
      </w:r>
      <w:r w:rsidR="000E24B6" w:rsidRPr="008F0289">
        <w:rPr>
          <w:rFonts w:ascii="Times New Roman" w:hAnsi="Times New Roman" w:cs="Times New Roman"/>
          <w:color w:val="000000" w:themeColor="text1"/>
          <w:sz w:val="28"/>
          <w:szCs w:val="28"/>
          <w:u w:val="single"/>
        </w:rPr>
        <w:t>Гамова О. В.</w:t>
      </w:r>
    </w:p>
    <w:p w:rsidR="00D6536B" w:rsidRPr="00D6536B" w:rsidRDefault="00D6536B" w:rsidP="00D6536B">
      <w:pPr>
        <w:spacing w:after="0" w:line="240" w:lineRule="auto"/>
        <w:jc w:val="both"/>
        <w:rPr>
          <w:rFonts w:ascii="Times New Roman" w:hAnsi="Times New Roman" w:cs="Times New Roman"/>
          <w:b/>
          <w:color w:val="000000" w:themeColor="text1"/>
          <w:sz w:val="28"/>
          <w:szCs w:val="28"/>
        </w:rPr>
      </w:pPr>
      <w:r w:rsidRPr="00D6536B">
        <w:rPr>
          <w:rFonts w:ascii="Times New Roman" w:hAnsi="Times New Roman" w:cs="Times New Roman"/>
          <w:bCs/>
          <w:color w:val="000000" w:themeColor="text1"/>
          <w:sz w:val="28"/>
          <w:szCs w:val="28"/>
        </w:rPr>
        <w:t xml:space="preserve">                                        </w:t>
      </w:r>
      <w:r w:rsidRPr="00D6536B">
        <w:rPr>
          <w:rFonts w:ascii="Times New Roman" w:hAnsi="Times New Roman" w:cs="Times New Roman"/>
          <w:bCs/>
          <w:color w:val="000000" w:themeColor="text1"/>
          <w:sz w:val="28"/>
          <w:szCs w:val="28"/>
          <w:vertAlign w:val="superscript"/>
        </w:rPr>
        <w:t>(підпис)                                   (ініціали  та прізвище)</w:t>
      </w:r>
    </w:p>
    <w:p w:rsidR="00EA1D25" w:rsidRPr="00C37448" w:rsidRDefault="00EA1D25" w:rsidP="00C37448">
      <w:pPr>
        <w:spacing w:after="0" w:line="360" w:lineRule="auto"/>
        <w:jc w:val="center"/>
        <w:rPr>
          <w:b/>
        </w:rPr>
      </w:pPr>
      <w:r>
        <w:rPr>
          <w:b/>
        </w:rPr>
        <w:br w:type="page"/>
      </w:r>
      <w:bookmarkStart w:id="13" w:name="_Toc184145075"/>
      <w:r w:rsidRPr="00EA1D25">
        <w:rPr>
          <w:rFonts w:ascii="Times New Roman" w:hAnsi="Times New Roman" w:cs="Times New Roman"/>
          <w:b/>
          <w:bCs/>
          <w:sz w:val="28"/>
          <w:szCs w:val="28"/>
        </w:rPr>
        <w:lastRenderedPageBreak/>
        <w:t>РЕФЕРАТ</w:t>
      </w:r>
      <w:bookmarkEnd w:id="13"/>
    </w:p>
    <w:p w:rsidR="00EA1D25" w:rsidRPr="00EA1D25" w:rsidRDefault="00EA1D25" w:rsidP="00C37448">
      <w:pPr>
        <w:spacing w:after="0" w:line="360" w:lineRule="auto"/>
        <w:jc w:val="both"/>
        <w:rPr>
          <w:rFonts w:ascii="Times New Roman" w:hAnsi="Times New Roman" w:cs="Times New Roman"/>
          <w:sz w:val="28"/>
          <w:szCs w:val="28"/>
        </w:rPr>
      </w:pPr>
    </w:p>
    <w:p w:rsidR="00F068F5" w:rsidRPr="00F068F5"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 xml:space="preserve">Кваліфікаційна робота магістра: </w:t>
      </w:r>
      <w:r>
        <w:rPr>
          <w:rFonts w:ascii="Times New Roman" w:hAnsi="Times New Roman" w:cs="Times New Roman"/>
          <w:sz w:val="28"/>
          <w:szCs w:val="28"/>
        </w:rPr>
        <w:t>89</w:t>
      </w:r>
      <w:r w:rsidRPr="00F068F5">
        <w:rPr>
          <w:rFonts w:ascii="Times New Roman" w:hAnsi="Times New Roman" w:cs="Times New Roman"/>
          <w:sz w:val="28"/>
          <w:szCs w:val="28"/>
        </w:rPr>
        <w:t xml:space="preserve"> с., </w:t>
      </w:r>
      <w:r w:rsidR="00AD5D69">
        <w:rPr>
          <w:rFonts w:ascii="Times New Roman" w:hAnsi="Times New Roman" w:cs="Times New Roman"/>
          <w:sz w:val="28"/>
          <w:szCs w:val="28"/>
        </w:rPr>
        <w:t>16</w:t>
      </w:r>
      <w:r w:rsidRPr="00F068F5">
        <w:rPr>
          <w:rFonts w:ascii="Times New Roman" w:hAnsi="Times New Roman" w:cs="Times New Roman"/>
          <w:sz w:val="28"/>
          <w:szCs w:val="28"/>
        </w:rPr>
        <w:t xml:space="preserve"> рис., </w:t>
      </w:r>
      <w:r w:rsidR="00AD5D69">
        <w:rPr>
          <w:rFonts w:ascii="Times New Roman" w:hAnsi="Times New Roman" w:cs="Times New Roman"/>
          <w:sz w:val="28"/>
          <w:szCs w:val="28"/>
        </w:rPr>
        <w:t>50</w:t>
      </w:r>
      <w:r w:rsidRPr="00F068F5">
        <w:rPr>
          <w:rFonts w:ascii="Times New Roman" w:hAnsi="Times New Roman" w:cs="Times New Roman"/>
          <w:sz w:val="28"/>
          <w:szCs w:val="28"/>
        </w:rPr>
        <w:t xml:space="preserve"> джерел.</w:t>
      </w:r>
    </w:p>
    <w:p w:rsidR="00F068F5" w:rsidRPr="00F068F5"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Об’єкт дослідження: процес формування земельної ренти.</w:t>
      </w:r>
    </w:p>
    <w:p w:rsidR="00F068F5" w:rsidRPr="00F068F5"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Предмет дослідження: земельна рента (абсолютна, диференціальна) в розрахунках добробуту громадян та соціальної справедливості, яка охоплює економічні, соціальні та екологічні аспекти раціонального використання земельних ресурсів.</w:t>
      </w:r>
    </w:p>
    <w:p w:rsidR="00F068F5" w:rsidRPr="00F068F5"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Мета роботи: розробка напрямків вдосконалення політики регулювання земельної ренти для забезпечення соціальної справедливості та сталого розвитку.</w:t>
      </w:r>
    </w:p>
    <w:p w:rsidR="00F068F5" w:rsidRPr="00F068F5"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У роботі розкрита економічна сутність земельної ренти, визначені її види (абсолютна, диференціальна), а також механізми формування та перерозподілу ренти в економіці України. Досліджено вплив рентних доходів на рівень соціальної нерівності та добробут громадян, а також взаємозв’язок земельної ренти з економічними та екологічними проблемами.</w:t>
      </w:r>
    </w:p>
    <w:p w:rsidR="00F068F5" w:rsidRPr="00F068F5"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Проаналізовано закордонний досвід регулювання земельної ренти, включаючи ефективні механізми перерозподілу доходів для зменшення соціальної нерівності та забезпечення сталого розвитку. Робота підкреслює важливість вдосконалення земельного законодавства в Україні для підвищення ефективності землекористування, збереження земельних ресурсів та поліпшення добробуту населення.</w:t>
      </w:r>
    </w:p>
    <w:p w:rsidR="00C37448" w:rsidRDefault="00F068F5" w:rsidP="00C37448">
      <w:pPr>
        <w:spacing w:after="0" w:line="360" w:lineRule="auto"/>
        <w:ind w:firstLine="709"/>
        <w:jc w:val="both"/>
        <w:rPr>
          <w:rFonts w:ascii="Times New Roman" w:hAnsi="Times New Roman" w:cs="Times New Roman"/>
          <w:sz w:val="28"/>
          <w:szCs w:val="28"/>
        </w:rPr>
      </w:pPr>
      <w:r w:rsidRPr="00F068F5">
        <w:rPr>
          <w:rFonts w:ascii="Times New Roman" w:hAnsi="Times New Roman" w:cs="Times New Roman"/>
          <w:sz w:val="28"/>
          <w:szCs w:val="28"/>
        </w:rPr>
        <w:t>Запропоновані рекомендації щодо реформування земельної політики передбачають адаптацію інструментів управління земельними відносинами, спрямованих на підтримку місцевих громад, розвиток інфраструктури та збереження екологічного балансу.</w:t>
      </w:r>
    </w:p>
    <w:p w:rsidR="00AD5D69" w:rsidRPr="00AD5D69" w:rsidRDefault="00C37448" w:rsidP="00C37448">
      <w:pPr>
        <w:spacing w:after="0" w:line="360" w:lineRule="auto"/>
        <w:ind w:firstLine="709"/>
        <w:jc w:val="both"/>
        <w:rPr>
          <w:rFonts w:ascii="Times New Roman" w:hAnsi="Times New Roman" w:cs="Times New Roman"/>
          <w:sz w:val="28"/>
          <w:szCs w:val="28"/>
        </w:rPr>
      </w:pPr>
      <w:r w:rsidRPr="00AD5D69">
        <w:rPr>
          <w:rFonts w:ascii="Times New Roman" w:hAnsi="Times New Roman" w:cs="Times New Roman"/>
          <w:sz w:val="28"/>
          <w:szCs w:val="28"/>
        </w:rPr>
        <w:t>ЗЕМЕЛЬНА РЕНТА,</w:t>
      </w:r>
      <w:r>
        <w:rPr>
          <w:rFonts w:ascii="Times New Roman" w:hAnsi="Times New Roman" w:cs="Times New Roman"/>
          <w:sz w:val="28"/>
          <w:szCs w:val="28"/>
        </w:rPr>
        <w:t xml:space="preserve"> </w:t>
      </w:r>
      <w:r w:rsidRPr="00AD5D69">
        <w:rPr>
          <w:rFonts w:ascii="Times New Roman" w:hAnsi="Times New Roman" w:cs="Times New Roman"/>
          <w:sz w:val="28"/>
          <w:szCs w:val="28"/>
        </w:rPr>
        <w:t>СОЦІАЛЬНА СПРАВЕДЛИВІСТЬ, РАЦІОНАЛЬНЕ ЗЕМЛЕКОРИСТУВАННЯ, ЗЕМЕЛЬНІ РЕСУРСИ, ПЕРЕРОЗПОДІЛ ДОХОДІВ, СТАЛИЙ РОЗВИТОК, ЗЕМЕЛЬНЕ</w:t>
      </w:r>
      <w:r>
        <w:rPr>
          <w:rFonts w:ascii="Times New Roman" w:hAnsi="Times New Roman" w:cs="Times New Roman"/>
          <w:sz w:val="28"/>
          <w:szCs w:val="28"/>
        </w:rPr>
        <w:t xml:space="preserve"> </w:t>
      </w:r>
      <w:r w:rsidRPr="00AD5D69">
        <w:rPr>
          <w:rFonts w:ascii="Times New Roman" w:hAnsi="Times New Roman" w:cs="Times New Roman"/>
          <w:sz w:val="28"/>
          <w:szCs w:val="28"/>
        </w:rPr>
        <w:t>ЗАКОНОДАВСТВО.</w:t>
      </w:r>
    </w:p>
    <w:p w:rsidR="00EA1D25" w:rsidRPr="00C37448" w:rsidRDefault="00EA1D25" w:rsidP="00C37448">
      <w:pPr>
        <w:spacing w:after="0" w:line="360" w:lineRule="auto"/>
        <w:ind w:firstLine="709"/>
        <w:jc w:val="center"/>
        <w:rPr>
          <w:rFonts w:ascii="Times New Roman" w:hAnsi="Times New Roman" w:cs="Times New Roman"/>
          <w:sz w:val="28"/>
          <w:szCs w:val="28"/>
        </w:rPr>
      </w:pPr>
      <w:r w:rsidRPr="00EA1D25">
        <w:rPr>
          <w:rFonts w:ascii="Times New Roman" w:hAnsi="Times New Roman" w:cs="Times New Roman"/>
          <w:sz w:val="28"/>
          <w:szCs w:val="28"/>
        </w:rPr>
        <w:br w:type="page"/>
      </w:r>
      <w:bookmarkStart w:id="14" w:name="_Toc184145076"/>
      <w:r w:rsidRPr="00EA1D25">
        <w:rPr>
          <w:rFonts w:ascii="Times New Roman" w:hAnsi="Times New Roman" w:cs="Times New Roman"/>
          <w:b/>
          <w:bCs/>
          <w:sz w:val="28"/>
          <w:szCs w:val="28"/>
          <w:lang w:val="en-US"/>
        </w:rPr>
        <w:lastRenderedPageBreak/>
        <w:t>SUMMARY</w:t>
      </w:r>
      <w:bookmarkEnd w:id="14"/>
    </w:p>
    <w:p w:rsidR="00AD5D69" w:rsidRPr="00AD5D69" w:rsidRDefault="00AD5D69" w:rsidP="00AD5D69">
      <w:pPr>
        <w:spacing w:after="0" w:line="360" w:lineRule="auto"/>
        <w:ind w:firstLine="709"/>
        <w:jc w:val="both"/>
        <w:rPr>
          <w:rFonts w:ascii="Times New Roman" w:hAnsi="Times New Roman" w:cs="Times New Roman"/>
          <w:sz w:val="28"/>
          <w:szCs w:val="28"/>
          <w:lang w:val="en-US"/>
        </w:rPr>
      </w:pPr>
    </w:p>
    <w:p w:rsidR="00AD5D69" w:rsidRPr="00AD5D69" w:rsidRDefault="00AD5D69" w:rsidP="00AD5D69">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 xml:space="preserve">Master's Qualification Thesis: </w:t>
      </w:r>
      <w:r>
        <w:rPr>
          <w:rFonts w:ascii="Times New Roman" w:hAnsi="Times New Roman" w:cs="Times New Roman"/>
          <w:sz w:val="28"/>
          <w:szCs w:val="28"/>
        </w:rPr>
        <w:t>89</w:t>
      </w:r>
      <w:r w:rsidRPr="00AD5D69">
        <w:rPr>
          <w:rFonts w:ascii="Times New Roman" w:hAnsi="Times New Roman" w:cs="Times New Roman"/>
          <w:sz w:val="28"/>
          <w:szCs w:val="28"/>
          <w:lang w:val="en-US"/>
        </w:rPr>
        <w:t xml:space="preserve"> pages, </w:t>
      </w:r>
      <w:r>
        <w:rPr>
          <w:rFonts w:ascii="Times New Roman" w:hAnsi="Times New Roman" w:cs="Times New Roman"/>
          <w:sz w:val="28"/>
          <w:szCs w:val="28"/>
        </w:rPr>
        <w:t>16</w:t>
      </w:r>
      <w:r w:rsidRPr="00AD5D69">
        <w:rPr>
          <w:rFonts w:ascii="Times New Roman" w:hAnsi="Times New Roman" w:cs="Times New Roman"/>
          <w:sz w:val="28"/>
          <w:szCs w:val="28"/>
          <w:lang w:val="en-US"/>
        </w:rPr>
        <w:t xml:space="preserve"> figures, </w:t>
      </w:r>
      <w:r>
        <w:rPr>
          <w:rFonts w:ascii="Times New Roman" w:hAnsi="Times New Roman" w:cs="Times New Roman"/>
          <w:sz w:val="28"/>
          <w:szCs w:val="28"/>
        </w:rPr>
        <w:t>50</w:t>
      </w:r>
      <w:r w:rsidRPr="00AD5D69">
        <w:rPr>
          <w:rFonts w:ascii="Times New Roman" w:hAnsi="Times New Roman" w:cs="Times New Roman"/>
          <w:sz w:val="28"/>
          <w:szCs w:val="28"/>
          <w:lang w:val="en-US"/>
        </w:rPr>
        <w:t xml:space="preserve"> sources.</w:t>
      </w:r>
    </w:p>
    <w:p w:rsidR="00AD5D69" w:rsidRPr="00AD5D69" w:rsidRDefault="00AD5D69" w:rsidP="00AD5D69">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Object of the research: the process of land rent formation.</w:t>
      </w:r>
    </w:p>
    <w:p w:rsidR="00AD5D69" w:rsidRPr="00AD5D69" w:rsidRDefault="00AD5D69" w:rsidP="00AD5D69">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Subject of the research: land rent (absolute, differential) in calculations of citizens' welfare and social justice, encompassing economic, social, and environmental aspects of rational land resource utilization.</w:t>
      </w:r>
      <w:bookmarkStart w:id="15" w:name="_GoBack"/>
      <w:bookmarkEnd w:id="15"/>
    </w:p>
    <w:p w:rsidR="00AD5D69" w:rsidRPr="00AD5D69" w:rsidRDefault="00AD5D69" w:rsidP="00AD5D69">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Research aim: to develop directions for improving land rent regulation policies to ensure social justice and sustainable development.</w:t>
      </w:r>
    </w:p>
    <w:p w:rsidR="00AD5D69" w:rsidRPr="00AD5D69" w:rsidRDefault="00AD5D69" w:rsidP="00AD5D69">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The study reveals the economic essence of land rent, identifies its types (absolute, differential), as well as the mechanisms for its formation and redistribution in Ukraine's economy. It examines the impact of rental income on social inequality and citizens' welfare, as well as the interconnection of land rent with economic and environmental issues.</w:t>
      </w:r>
    </w:p>
    <w:p w:rsidR="00AD5D69" w:rsidRPr="00AD5D69" w:rsidRDefault="00AD5D69" w:rsidP="00AD5D69">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The paper analyzes international experience in land rent regulation, including effective mechanisms for income redistribution aimed at reducing social inequality and ensuring sustainable development. It emphasizes the importance of improving Ukraine's land legislation to enhance the efficiency of land use, preserve land resources, and improve the population's welfare.</w:t>
      </w:r>
    </w:p>
    <w:p w:rsidR="00C37448" w:rsidRDefault="00AD5D69" w:rsidP="00C37448">
      <w:pPr>
        <w:spacing w:after="0" w:line="360" w:lineRule="auto"/>
        <w:ind w:firstLine="709"/>
        <w:jc w:val="both"/>
        <w:rPr>
          <w:rFonts w:ascii="Times New Roman" w:hAnsi="Times New Roman" w:cs="Times New Roman"/>
          <w:sz w:val="28"/>
          <w:szCs w:val="28"/>
          <w:lang w:val="en-US"/>
        </w:rPr>
      </w:pPr>
      <w:r w:rsidRPr="00AD5D69">
        <w:rPr>
          <w:rFonts w:ascii="Times New Roman" w:hAnsi="Times New Roman" w:cs="Times New Roman"/>
          <w:sz w:val="28"/>
          <w:szCs w:val="28"/>
          <w:lang w:val="en-US"/>
        </w:rPr>
        <w:t>The proposed recommendations for reforming land policy include the adaptation of land management tools focused on supporting local communities, developing infrastructure, and maintaining ecological balance.</w:t>
      </w:r>
    </w:p>
    <w:p w:rsidR="00C37448" w:rsidRDefault="00C37448" w:rsidP="00C37448">
      <w:pPr>
        <w:spacing w:after="0" w:line="360" w:lineRule="auto"/>
        <w:ind w:firstLine="709"/>
        <w:jc w:val="both"/>
        <w:rPr>
          <w:rFonts w:ascii="Times New Roman" w:hAnsi="Times New Roman" w:cs="Times New Roman"/>
          <w:sz w:val="28"/>
          <w:szCs w:val="28"/>
          <w:lang w:val="en-US"/>
        </w:rPr>
      </w:pPr>
    </w:p>
    <w:p w:rsidR="00EA1D25" w:rsidRPr="00C37448" w:rsidRDefault="00C37448" w:rsidP="00C37448">
      <w:pPr>
        <w:spacing w:after="0" w:line="360" w:lineRule="auto"/>
        <w:ind w:firstLine="709"/>
        <w:jc w:val="both"/>
        <w:rPr>
          <w:rFonts w:ascii="Times New Roman" w:hAnsi="Times New Roman" w:cs="Times New Roman"/>
          <w:sz w:val="28"/>
          <w:szCs w:val="28"/>
          <w:lang w:val="en-US"/>
        </w:rPr>
      </w:pPr>
      <w:r w:rsidRPr="00C37448">
        <w:rPr>
          <w:rFonts w:ascii="Times New Roman" w:hAnsi="Times New Roman" w:cs="Times New Roman"/>
          <w:sz w:val="28"/>
          <w:szCs w:val="28"/>
          <w:lang w:val="en-US"/>
        </w:rPr>
        <w:t>LAND RENT, SOCIAL JUSTICE, RATIONAL LAND USE, LAND RESOURCES, INCOME REDISTRIBUTION, SUSTAINABLE DEVELOPMENT, LAND LEGISLATION.</w:t>
      </w:r>
    </w:p>
    <w:p w:rsidR="00F068F5" w:rsidRDefault="00F068F5">
      <w:pPr>
        <w:rPr>
          <w:rFonts w:ascii="Times New Roman" w:eastAsia="Times New Roman" w:hAnsi="Times New Roman" w:cs="Times New Roman"/>
          <w:b/>
          <w:sz w:val="28"/>
          <w:szCs w:val="28"/>
          <w:lang w:eastAsia="uk-UA"/>
        </w:rPr>
      </w:pPr>
      <w:r>
        <w:rPr>
          <w:b/>
        </w:rPr>
        <w:br w:type="page"/>
      </w:r>
    </w:p>
    <w:p w:rsidR="000C60E3" w:rsidRPr="00113A25" w:rsidRDefault="000C60E3" w:rsidP="00EA1D25">
      <w:pPr>
        <w:pStyle w:val="11"/>
        <w:ind w:firstLine="0"/>
        <w:jc w:val="center"/>
        <w:rPr>
          <w:b/>
        </w:rPr>
      </w:pPr>
      <w:r w:rsidRPr="00113A25">
        <w:rPr>
          <w:b/>
        </w:rPr>
        <w:lastRenderedPageBreak/>
        <w:t>ЗМІСТ</w:t>
      </w:r>
    </w:p>
    <w:sdt>
      <w:sdtPr>
        <w:rPr>
          <w:rFonts w:asciiTheme="minorHAnsi" w:eastAsiaTheme="minorHAnsi" w:hAnsiTheme="minorHAnsi" w:cstheme="minorBidi"/>
          <w:sz w:val="22"/>
          <w:szCs w:val="22"/>
          <w:lang w:eastAsia="en-US"/>
        </w:rPr>
        <w:id w:val="1582018145"/>
        <w:docPartObj>
          <w:docPartGallery w:val="Table of Contents"/>
          <w:docPartUnique/>
        </w:docPartObj>
      </w:sdtPr>
      <w:sdtEndPr>
        <w:rPr>
          <w:bCs/>
        </w:rPr>
      </w:sdtEndPr>
      <w:sdtContent>
        <w:p w:rsidR="000C60E3" w:rsidRPr="002F0FA8" w:rsidRDefault="000C60E3" w:rsidP="002F0FA8">
          <w:pPr>
            <w:pStyle w:val="11"/>
            <w:ind w:firstLine="0"/>
          </w:pPr>
        </w:p>
        <w:p w:rsidR="00C50B01" w:rsidRPr="00C50B01" w:rsidRDefault="000C60E3">
          <w:pPr>
            <w:pStyle w:val="13"/>
            <w:tabs>
              <w:tab w:val="right" w:leader="dot" w:pos="9344"/>
            </w:tabs>
            <w:rPr>
              <w:rFonts w:ascii="Times New Roman" w:eastAsiaTheme="minorEastAsia" w:hAnsi="Times New Roman" w:cs="Times New Roman"/>
              <w:noProof/>
              <w:sz w:val="28"/>
              <w:szCs w:val="28"/>
              <w:lang w:val="ru-RU" w:eastAsia="ru-RU"/>
            </w:rPr>
          </w:pPr>
          <w:r w:rsidRPr="002F0FA8">
            <w:rPr>
              <w:rFonts w:ascii="Times New Roman" w:hAnsi="Times New Roman" w:cs="Times New Roman"/>
              <w:sz w:val="28"/>
              <w:szCs w:val="28"/>
            </w:rPr>
            <w:fldChar w:fldCharType="begin"/>
          </w:r>
          <w:r w:rsidRPr="002F0FA8">
            <w:rPr>
              <w:rFonts w:ascii="Times New Roman" w:hAnsi="Times New Roman" w:cs="Times New Roman"/>
              <w:sz w:val="28"/>
              <w:szCs w:val="28"/>
            </w:rPr>
            <w:instrText xml:space="preserve"> TOC \o "1-3" \h \z \u </w:instrText>
          </w:r>
          <w:r w:rsidRPr="002F0FA8">
            <w:rPr>
              <w:rFonts w:ascii="Times New Roman" w:hAnsi="Times New Roman" w:cs="Times New Roman"/>
              <w:sz w:val="28"/>
              <w:szCs w:val="28"/>
            </w:rPr>
            <w:fldChar w:fldCharType="separate"/>
          </w:r>
          <w:hyperlink w:anchor="_Toc187523557" w:history="1">
            <w:r w:rsidR="00C50B01" w:rsidRPr="00C50B01">
              <w:rPr>
                <w:rStyle w:val="aa"/>
                <w:rFonts w:ascii="Times New Roman" w:hAnsi="Times New Roman" w:cs="Times New Roman"/>
                <w:b/>
                <w:noProof/>
                <w:sz w:val="28"/>
                <w:szCs w:val="28"/>
              </w:rPr>
              <w:t>ВСТУП</w:t>
            </w:r>
            <w:r w:rsidR="00C50B01" w:rsidRPr="00C50B01">
              <w:rPr>
                <w:rFonts w:ascii="Times New Roman" w:hAnsi="Times New Roman" w:cs="Times New Roman"/>
                <w:noProof/>
                <w:webHidden/>
                <w:sz w:val="28"/>
                <w:szCs w:val="28"/>
              </w:rPr>
              <w:tab/>
            </w:r>
            <w:r w:rsidR="00C50B01" w:rsidRPr="00C50B01">
              <w:rPr>
                <w:rFonts w:ascii="Times New Roman" w:hAnsi="Times New Roman" w:cs="Times New Roman"/>
                <w:noProof/>
                <w:webHidden/>
                <w:sz w:val="28"/>
                <w:szCs w:val="28"/>
              </w:rPr>
              <w:fldChar w:fldCharType="begin"/>
            </w:r>
            <w:r w:rsidR="00C50B01" w:rsidRPr="00C50B01">
              <w:rPr>
                <w:rFonts w:ascii="Times New Roman" w:hAnsi="Times New Roman" w:cs="Times New Roman"/>
                <w:noProof/>
                <w:webHidden/>
                <w:sz w:val="28"/>
                <w:szCs w:val="28"/>
              </w:rPr>
              <w:instrText xml:space="preserve"> PAGEREF _Toc187523557 \h </w:instrText>
            </w:r>
            <w:r w:rsidR="00C50B01" w:rsidRPr="00C50B01">
              <w:rPr>
                <w:rFonts w:ascii="Times New Roman" w:hAnsi="Times New Roman" w:cs="Times New Roman"/>
                <w:noProof/>
                <w:webHidden/>
                <w:sz w:val="28"/>
                <w:szCs w:val="28"/>
              </w:rPr>
            </w:r>
            <w:r w:rsidR="00C50B01" w:rsidRPr="00C50B01">
              <w:rPr>
                <w:rFonts w:ascii="Times New Roman" w:hAnsi="Times New Roman" w:cs="Times New Roman"/>
                <w:noProof/>
                <w:webHidden/>
                <w:sz w:val="28"/>
                <w:szCs w:val="28"/>
              </w:rPr>
              <w:fldChar w:fldCharType="separate"/>
            </w:r>
            <w:r w:rsidR="00C50B01" w:rsidRPr="00C50B01">
              <w:rPr>
                <w:rFonts w:ascii="Times New Roman" w:hAnsi="Times New Roman" w:cs="Times New Roman"/>
                <w:noProof/>
                <w:webHidden/>
                <w:sz w:val="28"/>
                <w:szCs w:val="28"/>
              </w:rPr>
              <w:t>8</w:t>
            </w:r>
            <w:r w:rsidR="00C50B01"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58" w:history="1">
            <w:r w:rsidRPr="00C50B01">
              <w:rPr>
                <w:rStyle w:val="aa"/>
                <w:rFonts w:ascii="Times New Roman" w:hAnsi="Times New Roman" w:cs="Times New Roman"/>
                <w:b/>
                <w:noProof/>
                <w:sz w:val="28"/>
                <w:szCs w:val="28"/>
              </w:rPr>
              <w:t>РОЗДІЛ 1</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_Toc187523558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10</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59" w:history="1">
            <w:r w:rsidRPr="00C50B01">
              <w:rPr>
                <w:rStyle w:val="aa"/>
                <w:rFonts w:ascii="Times New Roman" w:hAnsi="Times New Roman" w:cs="Times New Roman"/>
                <w:b/>
                <w:noProof/>
                <w:sz w:val="28"/>
                <w:szCs w:val="28"/>
              </w:rPr>
              <w:t>ТЕОРЕТИЧНІ ОСНОВИ ЗЕМЕЛЬНОЇ РЕНТИ</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_Toc187523559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10</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0" w:history="1">
            <w:r w:rsidRPr="00C50B01">
              <w:rPr>
                <w:rStyle w:val="aa"/>
                <w:rFonts w:ascii="Times New Roman" w:hAnsi="Times New Roman" w:cs="Times New Roman"/>
                <w:b/>
                <w:noProof/>
                <w:sz w:val="28"/>
                <w:szCs w:val="28"/>
              </w:rPr>
              <w:t>1.1. Поняття та економічна сутність земельної ренти</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_Toc187523560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10</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1" w:history="1">
            <w:r w:rsidRPr="00C50B01">
              <w:rPr>
                <w:rStyle w:val="aa"/>
                <w:rFonts w:ascii="Times New Roman" w:hAnsi="Times New Roman" w:cs="Times New Roman"/>
                <w:b/>
                <w:noProof/>
                <w:sz w:val="28"/>
                <w:szCs w:val="28"/>
              </w:rPr>
              <w:t>1.2. Види земельної ренти та їх відмінності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_Toc187523561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16</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2" w:history="1">
            <w:r w:rsidRPr="00C50B01">
              <w:rPr>
                <w:rStyle w:val="aa"/>
                <w:rFonts w:ascii="Times New Roman" w:hAnsi="Times New Roman" w:cs="Times New Roman"/>
                <w:b/>
                <w:noProof/>
                <w:sz w:val="28"/>
                <w:szCs w:val="28"/>
              </w:rPr>
              <w:t>1.3. Механізми формування ренти та її вплив на добробут громадян</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_Toc187523562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24</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3" w:history="1">
            <w:r w:rsidRPr="00C50B01">
              <w:rPr>
                <w:rStyle w:val="aa"/>
                <w:rFonts w:ascii="Times New Roman" w:hAnsi="Times New Roman" w:cs="Times New Roman"/>
                <w:b/>
                <w:noProof/>
                <w:sz w:val="28"/>
                <w:szCs w:val="28"/>
              </w:rPr>
              <w:t>РОЗДІЛ 2</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_Toc187523563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33</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4" w:history="1">
            <w:r w:rsidRPr="00C50B01">
              <w:rPr>
                <w:rStyle w:val="aa"/>
                <w:rFonts w:ascii="Times New Roman" w:hAnsi="Times New Roman" w:cs="Times New Roman"/>
                <w:b/>
                <w:noProof/>
                <w:sz w:val="28"/>
                <w:szCs w:val="28"/>
              </w:rPr>
              <w:t>ДОСЛІДЖЕННЯ ЗЕМЕЛЬНОЇ РЕНТИ ТА ЇЇ ВПЛИВ НА СОЦІАЛЬНУ СПРАВЕДЛИВІСТЬ В УКРАЇНІ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_Toc187523564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33</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5" w:history="1">
            <w:r w:rsidRPr="00C50B01">
              <w:rPr>
                <w:rStyle w:val="aa"/>
                <w:rFonts w:ascii="Times New Roman" w:hAnsi="Times New Roman" w:cs="Times New Roman"/>
                <w:b/>
                <w:noProof/>
                <w:sz w:val="28"/>
                <w:szCs w:val="28"/>
              </w:rPr>
              <w:t>2.1. Взаємозв’язок між земельною рентою та рівнем соціальної нерівності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_Toc187523565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33</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6" w:history="1">
            <w:r w:rsidRPr="00C50B01">
              <w:rPr>
                <w:rStyle w:val="aa"/>
                <w:rFonts w:ascii="Times New Roman" w:hAnsi="Times New Roman" w:cs="Times New Roman"/>
                <w:b/>
                <w:noProof/>
                <w:sz w:val="28"/>
                <w:szCs w:val="28"/>
              </w:rPr>
              <w:t>2.2. Системи перерозподілу ренти для підвищення соціальної справедливості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_Toc187523566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41</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7" w:history="1">
            <w:r w:rsidRPr="00C50B01">
              <w:rPr>
                <w:rStyle w:val="aa"/>
                <w:rFonts w:ascii="Times New Roman" w:hAnsi="Times New Roman" w:cs="Times New Roman"/>
                <w:b/>
                <w:noProof/>
                <w:sz w:val="28"/>
                <w:szCs w:val="28"/>
              </w:rPr>
              <w:t>2.3. Аналіз ренти (рентних доходів та рентних платежів) в економіці України</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_Toc187523567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48</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8" w:history="1">
            <w:r w:rsidRPr="00C50B01">
              <w:rPr>
                <w:rStyle w:val="aa"/>
                <w:rFonts w:ascii="Times New Roman" w:hAnsi="Times New Roman" w:cs="Times New Roman"/>
                <w:b/>
                <w:noProof/>
                <w:sz w:val="28"/>
                <w:szCs w:val="28"/>
              </w:rPr>
              <w:t>РОЗДІЛ 3</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_Toc187523568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57</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69" w:history="1">
            <w:r w:rsidRPr="00C50B01">
              <w:rPr>
                <w:rStyle w:val="aa"/>
                <w:rFonts w:ascii="Times New Roman" w:hAnsi="Times New Roman" w:cs="Times New Roman"/>
                <w:b/>
                <w:noProof/>
                <w:sz w:val="28"/>
                <w:szCs w:val="28"/>
              </w:rPr>
              <w:t>НАПРЯМИ ВДОСКОНАЛЕННЯ ПОЛІТИКИ РЕГУЛЮВАННЯ ЗЕМЕЛЬНОЇ РЕНТИ ДЛЯ ЗАБЕЗПЕЧЕННЯ СОЦІАЛЬНОЇ СПРАВЕДЛИВОСТІ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_Toc187523569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57</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70" w:history="1">
            <w:r w:rsidRPr="00C50B01">
              <w:rPr>
                <w:rStyle w:val="aa"/>
                <w:rFonts w:ascii="Times New Roman" w:hAnsi="Times New Roman" w:cs="Times New Roman"/>
                <w:b/>
                <w:noProof/>
                <w:sz w:val="28"/>
                <w:szCs w:val="28"/>
              </w:rPr>
              <w:t>3.1. Проблеми та перспективи розвитку земельних відносин в Україні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_Toc187523570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57</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71" w:history="1">
            <w:r w:rsidRPr="00C50B01">
              <w:rPr>
                <w:rStyle w:val="aa"/>
                <w:rFonts w:ascii="Times New Roman" w:hAnsi="Times New Roman" w:cs="Times New Roman"/>
                <w:b/>
                <w:noProof/>
                <w:sz w:val="28"/>
                <w:szCs w:val="28"/>
              </w:rPr>
              <w:t>3.2 Закордонний досвід регулювання земельної ренти та його застосування в Україні</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_Toc187523571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66</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72" w:history="1">
            <w:r w:rsidRPr="00C50B01">
              <w:rPr>
                <w:rStyle w:val="aa"/>
                <w:rFonts w:ascii="Times New Roman" w:hAnsi="Times New Roman" w:cs="Times New Roman"/>
                <w:b/>
                <w:noProof/>
                <w:sz w:val="28"/>
                <w:szCs w:val="28"/>
              </w:rPr>
              <w:t>3.3. Пропозиції щодо реформування земельного законодавства для підвищення добробуту громадян</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_Toc187523572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73</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73" w:history="1">
            <w:r w:rsidRPr="00C50B01">
              <w:rPr>
                <w:rStyle w:val="aa"/>
                <w:rFonts w:ascii="Times New Roman" w:hAnsi="Times New Roman" w:cs="Times New Roman"/>
                <w:b/>
                <w:noProof/>
                <w:sz w:val="28"/>
                <w:szCs w:val="28"/>
              </w:rPr>
              <w:t>ВИСНОВКИ</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_Toc187523573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81</w:t>
            </w:r>
            <w:r w:rsidRPr="00C50B01">
              <w:rPr>
                <w:rFonts w:ascii="Times New Roman" w:hAnsi="Times New Roman" w:cs="Times New Roman"/>
                <w:noProof/>
                <w:webHidden/>
                <w:sz w:val="28"/>
                <w:szCs w:val="28"/>
              </w:rPr>
              <w:fldChar w:fldCharType="end"/>
            </w:r>
          </w:hyperlink>
        </w:p>
        <w:p w:rsidR="00C50B01" w:rsidRPr="00C50B01" w:rsidRDefault="00C50B01">
          <w:pPr>
            <w:pStyle w:val="13"/>
            <w:tabs>
              <w:tab w:val="right" w:leader="dot" w:pos="9344"/>
            </w:tabs>
            <w:rPr>
              <w:rFonts w:ascii="Times New Roman" w:eastAsiaTheme="minorEastAsia" w:hAnsi="Times New Roman" w:cs="Times New Roman"/>
              <w:noProof/>
              <w:sz w:val="28"/>
              <w:szCs w:val="28"/>
              <w:lang w:val="ru-RU" w:eastAsia="ru-RU"/>
            </w:rPr>
          </w:pPr>
          <w:hyperlink w:anchor="_Toc187523574" w:history="1">
            <w:r w:rsidRPr="00C50B01">
              <w:rPr>
                <w:rStyle w:val="aa"/>
                <w:rFonts w:ascii="Times New Roman" w:hAnsi="Times New Roman" w:cs="Times New Roman"/>
                <w:b/>
                <w:noProof/>
                <w:sz w:val="28"/>
                <w:szCs w:val="28"/>
              </w:rPr>
              <w:t>СПИСОК ВИКОРИСТАНИХ ДЖЕРЕЛ</w:t>
            </w:r>
            <w:r w:rsidRPr="00C50B01">
              <w:rPr>
                <w:rFonts w:ascii="Times New Roman" w:hAnsi="Times New Roman" w:cs="Times New Roman"/>
                <w:noProof/>
                <w:webHidden/>
                <w:sz w:val="28"/>
                <w:szCs w:val="28"/>
              </w:rPr>
              <w:tab/>
            </w:r>
            <w:r w:rsidRPr="00C50B01">
              <w:rPr>
                <w:rFonts w:ascii="Times New Roman" w:hAnsi="Times New Roman" w:cs="Times New Roman"/>
                <w:noProof/>
                <w:webHidden/>
                <w:sz w:val="28"/>
                <w:szCs w:val="28"/>
              </w:rPr>
              <w:fldChar w:fldCharType="begin"/>
            </w:r>
            <w:r w:rsidRPr="00C50B01">
              <w:rPr>
                <w:rFonts w:ascii="Times New Roman" w:hAnsi="Times New Roman" w:cs="Times New Roman"/>
                <w:noProof/>
                <w:webHidden/>
                <w:sz w:val="28"/>
                <w:szCs w:val="28"/>
              </w:rPr>
              <w:instrText xml:space="preserve"> PAGEREF _Toc187523574 \h </w:instrText>
            </w:r>
            <w:r w:rsidRPr="00C50B01">
              <w:rPr>
                <w:rFonts w:ascii="Times New Roman" w:hAnsi="Times New Roman" w:cs="Times New Roman"/>
                <w:noProof/>
                <w:webHidden/>
                <w:sz w:val="28"/>
                <w:szCs w:val="28"/>
              </w:rPr>
            </w:r>
            <w:r w:rsidRPr="00C50B01">
              <w:rPr>
                <w:rFonts w:ascii="Times New Roman" w:hAnsi="Times New Roman" w:cs="Times New Roman"/>
                <w:noProof/>
                <w:webHidden/>
                <w:sz w:val="28"/>
                <w:szCs w:val="28"/>
              </w:rPr>
              <w:fldChar w:fldCharType="separate"/>
            </w:r>
            <w:r w:rsidRPr="00C50B01">
              <w:rPr>
                <w:rFonts w:ascii="Times New Roman" w:hAnsi="Times New Roman" w:cs="Times New Roman"/>
                <w:noProof/>
                <w:webHidden/>
                <w:sz w:val="28"/>
                <w:szCs w:val="28"/>
              </w:rPr>
              <w:t>85</w:t>
            </w:r>
            <w:r w:rsidRPr="00C50B01">
              <w:rPr>
                <w:rFonts w:ascii="Times New Roman" w:hAnsi="Times New Roman" w:cs="Times New Roman"/>
                <w:noProof/>
                <w:webHidden/>
                <w:sz w:val="28"/>
                <w:szCs w:val="28"/>
              </w:rPr>
              <w:fldChar w:fldCharType="end"/>
            </w:r>
          </w:hyperlink>
        </w:p>
        <w:p w:rsidR="00D845F9" w:rsidRPr="008F0289" w:rsidRDefault="000C60E3" w:rsidP="008F0289">
          <w:pPr>
            <w:spacing w:line="360" w:lineRule="auto"/>
            <w:jc w:val="both"/>
            <w:rPr>
              <w:rFonts w:ascii="Times New Roman" w:hAnsi="Times New Roman" w:cs="Times New Roman"/>
              <w:sz w:val="28"/>
              <w:szCs w:val="28"/>
            </w:rPr>
          </w:pPr>
          <w:r w:rsidRPr="002F0FA8">
            <w:rPr>
              <w:rFonts w:ascii="Times New Roman" w:hAnsi="Times New Roman" w:cs="Times New Roman"/>
              <w:bCs/>
              <w:sz w:val="28"/>
              <w:szCs w:val="28"/>
            </w:rPr>
            <w:fldChar w:fldCharType="end"/>
          </w:r>
        </w:p>
      </w:sdtContent>
    </w:sdt>
    <w:p w:rsidR="00C50B01" w:rsidRDefault="00C50B01">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A406DD" w:rsidRPr="00113A25" w:rsidRDefault="00A406DD" w:rsidP="00A406DD">
      <w:pPr>
        <w:pStyle w:val="1"/>
        <w:spacing w:before="0" w:line="360" w:lineRule="auto"/>
        <w:ind w:firstLine="709"/>
        <w:jc w:val="center"/>
        <w:rPr>
          <w:rFonts w:ascii="Times New Roman" w:hAnsi="Times New Roman" w:cs="Times New Roman"/>
          <w:b/>
          <w:color w:val="auto"/>
          <w:sz w:val="28"/>
          <w:szCs w:val="28"/>
        </w:rPr>
      </w:pPr>
      <w:bookmarkStart w:id="16" w:name="_Toc187523557"/>
      <w:r>
        <w:rPr>
          <w:rFonts w:ascii="Times New Roman" w:hAnsi="Times New Roman" w:cs="Times New Roman"/>
          <w:b/>
          <w:color w:val="auto"/>
          <w:sz w:val="28"/>
          <w:szCs w:val="28"/>
        </w:rPr>
        <w:lastRenderedPageBreak/>
        <w:t>ВСТУП</w:t>
      </w:r>
      <w:bookmarkEnd w:id="16"/>
      <w:r>
        <w:rPr>
          <w:rFonts w:ascii="Times New Roman" w:hAnsi="Times New Roman" w:cs="Times New Roman"/>
          <w:b/>
          <w:color w:val="auto"/>
          <w:sz w:val="28"/>
          <w:szCs w:val="28"/>
        </w:rPr>
        <w:t xml:space="preserve"> </w:t>
      </w:r>
    </w:p>
    <w:p w:rsidR="00A406DD" w:rsidRDefault="00A406DD" w:rsidP="000C60E3">
      <w:pPr>
        <w:pStyle w:val="11"/>
      </w:pPr>
    </w:p>
    <w:p w:rsidR="00247684" w:rsidRPr="00247684" w:rsidRDefault="00A406DD" w:rsidP="00247684">
      <w:pPr>
        <w:pStyle w:val="11"/>
      </w:pPr>
      <w:r w:rsidRPr="00A406DD">
        <w:rPr>
          <w:i/>
        </w:rPr>
        <w:t>Актуальність теми.</w:t>
      </w:r>
      <w:r>
        <w:t xml:space="preserve"> </w:t>
      </w:r>
      <w:r w:rsidR="00247684" w:rsidRPr="00247684">
        <w:t>Ефективне використання земельних ресурсів є однією з найактуальніших проблем для розвитку аграрного сектора економіки. Формування сучасних земельних відносин, що безпосередньо впливає на ефективність функціонування економічних процесів, вимагає створення дієвого механізму, спрямованого на стимулювання раціонального використання та збереження земельних угідь. Це є основним завданням земельної реформи, сутність якої полягає в трансформації земельних відносин через визнання прав і інтересів громадян (роздержавлення земель) та забезпечення раціонального, високоефективного й екологічно безпечного використання земельних ресурсів. Використання застарілих методів управління, відсутність послідовної та збалансованої державної політики у сфері земельних відносин, а також правові проблеми затримують розвиток ринку землі, стримують прогрес у галузі і є суттєвими перепонами для залучення масштабних інвестицій. Тому регулювання земельних відносин і формування ринку землі залишаються важливими питаннями, що потребують невідкладного вирішення.</w:t>
      </w:r>
    </w:p>
    <w:p w:rsidR="00A406DD" w:rsidRDefault="009C19BD" w:rsidP="00247684">
      <w:pPr>
        <w:pStyle w:val="11"/>
      </w:pPr>
      <w:r>
        <w:t>Зміни в земельному законодавстві, відкриття ринку землі, а також перехід до нових форм управління земельними відносинами вимагають глибокого аналізу земельної ренти як важливого елементу цих процесів. Дослідження земельної ренти дозволяє оцінити ефективність використання земельних ресурсів, механізми формування доходів від землекористування та їх вплив на соціально-економічну ситуацію в країні. Крім того, питання земельної ренти є важливим інструментом у вирішенні проблеми сталого розвитку сільських територій, оскільки правильне управління ренто-утворенням сприяє підвищенню добробуту місцевих громад.</w:t>
      </w:r>
    </w:p>
    <w:p w:rsidR="00D36B1A" w:rsidRPr="00D36B1A" w:rsidRDefault="00B46BCA" w:rsidP="00D36B1A">
      <w:pPr>
        <w:pStyle w:val="11"/>
      </w:pPr>
      <w:r w:rsidRPr="00D36B1A">
        <w:t xml:space="preserve">Питання земельної ренти, а також її взаємозв’язку з рівнем соціальної справедливості досліджували </w:t>
      </w:r>
      <w:r w:rsidR="002F0FA8" w:rsidRPr="00D36B1A">
        <w:t xml:space="preserve">такі науковці, як: </w:t>
      </w:r>
      <w:r w:rsidR="00D36B1A" w:rsidRPr="00D36B1A">
        <w:t xml:space="preserve">С.В. </w:t>
      </w:r>
      <w:proofErr w:type="spellStart"/>
      <w:r w:rsidR="00D36B1A" w:rsidRPr="00D36B1A">
        <w:t>Мочерний</w:t>
      </w:r>
      <w:proofErr w:type="spellEnd"/>
      <w:r w:rsidR="00D36B1A" w:rsidRPr="00D36B1A">
        <w:t xml:space="preserve">, О.Я. Савчин, І.Й. Малий, М. </w:t>
      </w:r>
      <w:proofErr w:type="spellStart"/>
      <w:r w:rsidR="00D36B1A" w:rsidRPr="00D36B1A">
        <w:t>Туган</w:t>
      </w:r>
      <w:proofErr w:type="spellEnd"/>
      <w:r w:rsidR="00D36B1A" w:rsidRPr="00D36B1A">
        <w:t xml:space="preserve">-Барановський, Р.М. Ступень, С.І. </w:t>
      </w:r>
      <w:proofErr w:type="spellStart"/>
      <w:r w:rsidR="00D36B1A" w:rsidRPr="00D36B1A">
        <w:t>Кручок</w:t>
      </w:r>
      <w:proofErr w:type="spellEnd"/>
      <w:r w:rsidR="00D36B1A" w:rsidRPr="00D36B1A">
        <w:t xml:space="preserve">, І. </w:t>
      </w:r>
      <w:proofErr w:type="spellStart"/>
      <w:r w:rsidR="00D36B1A" w:rsidRPr="00D36B1A">
        <w:t>Михасюк</w:t>
      </w:r>
      <w:proofErr w:type="spellEnd"/>
      <w:r w:rsidR="00D36B1A" w:rsidRPr="00D36B1A">
        <w:t xml:space="preserve">, Б. </w:t>
      </w:r>
      <w:proofErr w:type="spellStart"/>
      <w:r w:rsidR="00D36B1A" w:rsidRPr="00D36B1A">
        <w:lastRenderedPageBreak/>
        <w:t>Косович</w:t>
      </w:r>
      <w:proofErr w:type="spellEnd"/>
      <w:r w:rsidR="00D36B1A" w:rsidRPr="00D36B1A">
        <w:t xml:space="preserve">, А.О. </w:t>
      </w:r>
      <w:proofErr w:type="spellStart"/>
      <w:r w:rsidR="00D36B1A" w:rsidRPr="00D36B1A">
        <w:t>Кошель</w:t>
      </w:r>
      <w:proofErr w:type="spellEnd"/>
      <w:r w:rsidR="00D36B1A" w:rsidRPr="00D36B1A">
        <w:t xml:space="preserve">, Н.В. </w:t>
      </w:r>
      <w:proofErr w:type="spellStart"/>
      <w:r w:rsidR="00D36B1A" w:rsidRPr="00D36B1A">
        <w:t>Жикаляк</w:t>
      </w:r>
      <w:proofErr w:type="spellEnd"/>
      <w:r w:rsidR="00D36B1A" w:rsidRPr="00D36B1A">
        <w:t xml:space="preserve">, В. Міщенко, В.А. </w:t>
      </w:r>
      <w:proofErr w:type="spellStart"/>
      <w:r w:rsidR="00D36B1A" w:rsidRPr="00D36B1A">
        <w:t>Палехова</w:t>
      </w:r>
      <w:proofErr w:type="spellEnd"/>
      <w:r w:rsidR="00D36B1A" w:rsidRPr="00D36B1A">
        <w:t xml:space="preserve">, А.І. </w:t>
      </w:r>
      <w:proofErr w:type="spellStart"/>
      <w:r w:rsidR="00D36B1A" w:rsidRPr="00D36B1A">
        <w:t>Амоша</w:t>
      </w:r>
      <w:proofErr w:type="spellEnd"/>
      <w:r w:rsidR="00D36B1A" w:rsidRPr="00D36B1A">
        <w:t xml:space="preserve">, Т.Б. </w:t>
      </w:r>
      <w:proofErr w:type="spellStart"/>
      <w:r w:rsidR="00D36B1A" w:rsidRPr="00D36B1A">
        <w:t>Решетілова</w:t>
      </w:r>
      <w:proofErr w:type="spellEnd"/>
      <w:r w:rsidR="00D36B1A" w:rsidRPr="00D36B1A">
        <w:t xml:space="preserve">, О.В. Врублевська, А.А. </w:t>
      </w:r>
      <w:proofErr w:type="spellStart"/>
      <w:r w:rsidR="00D36B1A" w:rsidRPr="00D36B1A">
        <w:t>Шустіков</w:t>
      </w:r>
      <w:proofErr w:type="spellEnd"/>
      <w:r w:rsidR="00D36B1A" w:rsidRPr="00D36B1A">
        <w:t xml:space="preserve">, Л.В. </w:t>
      </w:r>
      <w:proofErr w:type="spellStart"/>
      <w:r w:rsidR="00D36B1A" w:rsidRPr="00D36B1A">
        <w:t>Левковська</w:t>
      </w:r>
      <w:proofErr w:type="spellEnd"/>
      <w:r w:rsidR="00D36B1A" w:rsidRPr="00D36B1A">
        <w:t xml:space="preserve">, К.І. </w:t>
      </w:r>
      <w:proofErr w:type="spellStart"/>
      <w:r w:rsidR="00D36B1A" w:rsidRPr="00D36B1A">
        <w:t>Рижова</w:t>
      </w:r>
      <w:proofErr w:type="spellEnd"/>
      <w:r w:rsidR="00D36B1A" w:rsidRPr="00D36B1A">
        <w:t xml:space="preserve">, В.М. </w:t>
      </w:r>
      <w:proofErr w:type="spellStart"/>
      <w:r w:rsidR="00D36B1A" w:rsidRPr="00D36B1A">
        <w:t>Заяць</w:t>
      </w:r>
      <w:proofErr w:type="spellEnd"/>
      <w:r w:rsidR="00D36B1A" w:rsidRPr="00D36B1A">
        <w:t xml:space="preserve">, Т.П. </w:t>
      </w:r>
      <w:proofErr w:type="spellStart"/>
      <w:r w:rsidR="00D36B1A" w:rsidRPr="00D36B1A">
        <w:t>Галушкіна</w:t>
      </w:r>
      <w:proofErr w:type="spellEnd"/>
      <w:r w:rsidR="00D36B1A" w:rsidRPr="00D36B1A">
        <w:t xml:space="preserve">, Н.В. </w:t>
      </w:r>
      <w:proofErr w:type="spellStart"/>
      <w:r w:rsidR="00D36B1A" w:rsidRPr="00D36B1A">
        <w:t>Прямухіна</w:t>
      </w:r>
      <w:proofErr w:type="spellEnd"/>
      <w:r w:rsidR="00D36B1A" w:rsidRPr="00D36B1A">
        <w:t xml:space="preserve">, О. </w:t>
      </w:r>
      <w:proofErr w:type="spellStart"/>
      <w:r w:rsidR="00D36B1A" w:rsidRPr="00D36B1A">
        <w:t>Баїк</w:t>
      </w:r>
      <w:proofErr w:type="spellEnd"/>
      <w:r w:rsidR="00D36B1A" w:rsidRPr="00D36B1A">
        <w:t xml:space="preserve">, Л. Ярмол, М. </w:t>
      </w:r>
      <w:proofErr w:type="spellStart"/>
      <w:r w:rsidR="00D36B1A" w:rsidRPr="00D36B1A">
        <w:t>Сірант</w:t>
      </w:r>
      <w:proofErr w:type="spellEnd"/>
      <w:r w:rsidR="00D36B1A" w:rsidRPr="00D36B1A">
        <w:t xml:space="preserve">, Г. </w:t>
      </w:r>
      <w:proofErr w:type="spellStart"/>
      <w:r w:rsidR="00D36B1A" w:rsidRPr="00D36B1A">
        <w:t>Попадинець</w:t>
      </w:r>
      <w:proofErr w:type="spellEnd"/>
      <w:r w:rsidR="00D36B1A" w:rsidRPr="00D36B1A">
        <w:t>, Н. Стецюк.</w:t>
      </w:r>
    </w:p>
    <w:p w:rsidR="002F0FA8" w:rsidRDefault="002F0FA8" w:rsidP="00247684">
      <w:pPr>
        <w:pStyle w:val="11"/>
      </w:pPr>
      <w:r>
        <w:t xml:space="preserve">Метою роботи є розробка напрямків вдосконалення політики регулювання земельної ренти для забезпечення соціальної справедливості. </w:t>
      </w:r>
    </w:p>
    <w:p w:rsidR="002F0FA8" w:rsidRDefault="002F0FA8" w:rsidP="00247684">
      <w:pPr>
        <w:pStyle w:val="11"/>
      </w:pPr>
      <w:r>
        <w:t xml:space="preserve">У відповідності до поставленої мети основними завданнями дослідження є: </w:t>
      </w:r>
    </w:p>
    <w:p w:rsidR="00CB5104" w:rsidRDefault="00CB5104" w:rsidP="00CB5104">
      <w:pPr>
        <w:pStyle w:val="11"/>
        <w:numPr>
          <w:ilvl w:val="0"/>
          <w:numId w:val="10"/>
        </w:numPr>
        <w:ind w:left="0" w:firstLine="426"/>
      </w:pPr>
      <w:r>
        <w:t>дослідити поняття та економічну сутність земельної ренти;</w:t>
      </w:r>
    </w:p>
    <w:p w:rsidR="00CB5104" w:rsidRDefault="00CB5104" w:rsidP="00CB5104">
      <w:pPr>
        <w:pStyle w:val="11"/>
        <w:numPr>
          <w:ilvl w:val="0"/>
          <w:numId w:val="10"/>
        </w:numPr>
        <w:ind w:left="0" w:firstLine="426"/>
      </w:pPr>
      <w:r>
        <w:t>визначити види земельної ренти та їх відмінності;</w:t>
      </w:r>
    </w:p>
    <w:p w:rsidR="00CB5104" w:rsidRDefault="00CB5104" w:rsidP="00CB5104">
      <w:pPr>
        <w:pStyle w:val="11"/>
        <w:numPr>
          <w:ilvl w:val="0"/>
          <w:numId w:val="10"/>
        </w:numPr>
        <w:ind w:left="0" w:firstLine="426"/>
      </w:pPr>
      <w:r>
        <w:t xml:space="preserve">встановити механізми формування ренти та її вплив на добробут громадян; </w:t>
      </w:r>
    </w:p>
    <w:p w:rsidR="00CB5104" w:rsidRDefault="00CB5104" w:rsidP="00CB5104">
      <w:pPr>
        <w:pStyle w:val="11"/>
        <w:numPr>
          <w:ilvl w:val="0"/>
          <w:numId w:val="10"/>
        </w:numPr>
        <w:ind w:left="0" w:firstLine="426"/>
      </w:pPr>
      <w:r>
        <w:t>визначити взаємозв’язок між земельною рентою та рівнем соціальної нерівності;</w:t>
      </w:r>
    </w:p>
    <w:p w:rsidR="00CB5104" w:rsidRDefault="00CB5104" w:rsidP="00CB5104">
      <w:pPr>
        <w:pStyle w:val="11"/>
        <w:numPr>
          <w:ilvl w:val="0"/>
          <w:numId w:val="10"/>
        </w:numPr>
        <w:ind w:left="0" w:firstLine="426"/>
      </w:pPr>
      <w:r>
        <w:t xml:space="preserve">дослідити системи перерозподілу ренти для підвищення соціальної       справедливості; </w:t>
      </w:r>
    </w:p>
    <w:p w:rsidR="00CB5104" w:rsidRDefault="00CB5104" w:rsidP="00CB5104">
      <w:pPr>
        <w:pStyle w:val="11"/>
        <w:numPr>
          <w:ilvl w:val="0"/>
          <w:numId w:val="10"/>
        </w:numPr>
        <w:ind w:left="0" w:firstLine="426"/>
      </w:pPr>
      <w:r>
        <w:t xml:space="preserve">здійснити аналіз ренти (рентних доходів та рентних платежів) в економіці  України; </w:t>
      </w:r>
    </w:p>
    <w:p w:rsidR="00CB5104" w:rsidRDefault="00CB5104" w:rsidP="00CB5104">
      <w:pPr>
        <w:pStyle w:val="11"/>
        <w:numPr>
          <w:ilvl w:val="0"/>
          <w:numId w:val="10"/>
        </w:numPr>
        <w:ind w:left="0" w:firstLine="426"/>
      </w:pPr>
      <w:r>
        <w:t xml:space="preserve">встановити проблеми та перспективи розвитку земельних відносин в Україні; </w:t>
      </w:r>
    </w:p>
    <w:p w:rsidR="00CB5104" w:rsidRDefault="00CB5104" w:rsidP="00CB5104">
      <w:pPr>
        <w:pStyle w:val="11"/>
        <w:numPr>
          <w:ilvl w:val="0"/>
          <w:numId w:val="10"/>
        </w:numPr>
        <w:ind w:left="0" w:firstLine="426"/>
      </w:pPr>
      <w:r>
        <w:t>дослідити закордонний досвід регулювання земельної ренти та його застосування в Україні;</w:t>
      </w:r>
    </w:p>
    <w:p w:rsidR="002F0FA8" w:rsidRDefault="00CB5104" w:rsidP="00CB5104">
      <w:pPr>
        <w:pStyle w:val="11"/>
        <w:numPr>
          <w:ilvl w:val="0"/>
          <w:numId w:val="10"/>
        </w:numPr>
        <w:ind w:left="0" w:firstLine="426"/>
      </w:pPr>
      <w:r>
        <w:t xml:space="preserve">сформувати пропозиції щодо реформування земельного законодавства для підвищення добробуту громадян. </w:t>
      </w:r>
    </w:p>
    <w:p w:rsidR="002F0FA8" w:rsidRDefault="002F0FA8" w:rsidP="00247684">
      <w:pPr>
        <w:pStyle w:val="11"/>
      </w:pPr>
      <w:r>
        <w:t xml:space="preserve">Об’єктом дослідження є процес формування земельної ренти. </w:t>
      </w:r>
    </w:p>
    <w:p w:rsidR="00A406DD" w:rsidRDefault="002F0FA8" w:rsidP="00D36B1A">
      <w:pPr>
        <w:pStyle w:val="11"/>
      </w:pPr>
      <w:r>
        <w:t xml:space="preserve">Предметом дослідження є теоретичні основи земельної ренти. </w:t>
      </w:r>
    </w:p>
    <w:p w:rsidR="00A406DD" w:rsidRPr="00113A25" w:rsidRDefault="00A406DD" w:rsidP="000C60E3">
      <w:pPr>
        <w:pStyle w:val="11"/>
      </w:pPr>
    </w:p>
    <w:p w:rsidR="000C60E3" w:rsidRPr="00113A25" w:rsidRDefault="000C60E3" w:rsidP="000C60E3">
      <w:pPr>
        <w:pStyle w:val="11"/>
      </w:pPr>
    </w:p>
    <w:p w:rsidR="000C60E3" w:rsidRPr="00113A25" w:rsidRDefault="000C60E3">
      <w:pPr>
        <w:rPr>
          <w:rFonts w:ascii="Times New Roman" w:eastAsiaTheme="majorEastAsia" w:hAnsi="Times New Roman" w:cs="Times New Roman"/>
          <w:b/>
          <w:sz w:val="28"/>
          <w:szCs w:val="28"/>
        </w:rPr>
      </w:pPr>
      <w:r w:rsidRPr="00113A25">
        <w:rPr>
          <w:rFonts w:ascii="Times New Roman" w:hAnsi="Times New Roman" w:cs="Times New Roman"/>
          <w:b/>
          <w:sz w:val="28"/>
          <w:szCs w:val="28"/>
        </w:rPr>
        <w:br w:type="page"/>
      </w:r>
    </w:p>
    <w:p w:rsidR="00820585" w:rsidRPr="00113A25" w:rsidRDefault="00820585" w:rsidP="00820585">
      <w:pPr>
        <w:pStyle w:val="1"/>
        <w:spacing w:before="0" w:line="360" w:lineRule="auto"/>
        <w:ind w:firstLine="709"/>
        <w:jc w:val="center"/>
        <w:rPr>
          <w:rFonts w:ascii="Times New Roman" w:hAnsi="Times New Roman" w:cs="Times New Roman"/>
          <w:b/>
          <w:color w:val="auto"/>
          <w:sz w:val="28"/>
          <w:szCs w:val="28"/>
        </w:rPr>
      </w:pPr>
      <w:bookmarkStart w:id="17" w:name="_Toc187523558"/>
      <w:r w:rsidRPr="00113A25">
        <w:rPr>
          <w:rFonts w:ascii="Times New Roman" w:hAnsi="Times New Roman" w:cs="Times New Roman"/>
          <w:b/>
          <w:color w:val="auto"/>
          <w:sz w:val="28"/>
          <w:szCs w:val="28"/>
        </w:rPr>
        <w:lastRenderedPageBreak/>
        <w:t>РОЗДІЛ 1</w:t>
      </w:r>
      <w:bookmarkEnd w:id="17"/>
    </w:p>
    <w:p w:rsidR="00E74D4F" w:rsidRPr="00113A25" w:rsidRDefault="00E74D4F" w:rsidP="00820585">
      <w:pPr>
        <w:pStyle w:val="1"/>
        <w:spacing w:before="0" w:line="360" w:lineRule="auto"/>
        <w:ind w:firstLine="709"/>
        <w:jc w:val="center"/>
        <w:rPr>
          <w:rFonts w:ascii="Times New Roman" w:hAnsi="Times New Roman" w:cs="Times New Roman"/>
          <w:b/>
          <w:color w:val="auto"/>
          <w:sz w:val="28"/>
          <w:szCs w:val="28"/>
        </w:rPr>
      </w:pPr>
      <w:bookmarkStart w:id="18" w:name="_Toc187523559"/>
      <w:r w:rsidRPr="00113A25">
        <w:rPr>
          <w:rFonts w:ascii="Times New Roman" w:hAnsi="Times New Roman" w:cs="Times New Roman"/>
          <w:b/>
          <w:color w:val="auto"/>
          <w:sz w:val="28"/>
          <w:szCs w:val="28"/>
        </w:rPr>
        <w:t>ТЕОРЕТИЧНІ ОСНОВИ ЗЕМЕЛЬНОЇ РЕНТИ</w:t>
      </w:r>
      <w:bookmarkEnd w:id="18"/>
    </w:p>
    <w:p w:rsidR="00820585" w:rsidRPr="00113A25" w:rsidRDefault="00820585" w:rsidP="00820585">
      <w:pPr>
        <w:spacing w:after="0" w:line="360" w:lineRule="auto"/>
        <w:ind w:firstLine="709"/>
        <w:jc w:val="both"/>
        <w:rPr>
          <w:rFonts w:ascii="Times New Roman" w:hAnsi="Times New Roman" w:cs="Times New Roman"/>
          <w:sz w:val="28"/>
          <w:szCs w:val="28"/>
        </w:rPr>
      </w:pPr>
    </w:p>
    <w:p w:rsidR="00E74D4F" w:rsidRPr="00113A25" w:rsidRDefault="00E74D4F" w:rsidP="00820585">
      <w:pPr>
        <w:pStyle w:val="1"/>
        <w:spacing w:before="0" w:line="360" w:lineRule="auto"/>
        <w:ind w:firstLine="709"/>
        <w:jc w:val="both"/>
        <w:rPr>
          <w:rFonts w:ascii="Times New Roman" w:hAnsi="Times New Roman" w:cs="Times New Roman"/>
          <w:b/>
          <w:color w:val="auto"/>
          <w:sz w:val="28"/>
          <w:szCs w:val="28"/>
        </w:rPr>
      </w:pPr>
      <w:bookmarkStart w:id="19" w:name="_Toc187523560"/>
      <w:r w:rsidRPr="00113A25">
        <w:rPr>
          <w:rFonts w:ascii="Times New Roman" w:hAnsi="Times New Roman" w:cs="Times New Roman"/>
          <w:b/>
          <w:color w:val="auto"/>
          <w:sz w:val="28"/>
          <w:szCs w:val="28"/>
        </w:rPr>
        <w:t>1.1. Поняття та економічна сутність земельної ренти</w:t>
      </w:r>
      <w:bookmarkEnd w:id="19"/>
      <w:r w:rsidRPr="00113A25">
        <w:rPr>
          <w:rFonts w:ascii="Times New Roman" w:hAnsi="Times New Roman" w:cs="Times New Roman"/>
          <w:b/>
          <w:color w:val="auto"/>
          <w:sz w:val="28"/>
          <w:szCs w:val="28"/>
        </w:rPr>
        <w:t xml:space="preserve">  </w:t>
      </w:r>
    </w:p>
    <w:p w:rsidR="00820585" w:rsidRPr="00113A25" w:rsidRDefault="00820585" w:rsidP="00B50B27">
      <w:pPr>
        <w:pStyle w:val="11"/>
      </w:pPr>
    </w:p>
    <w:p w:rsidR="00087803" w:rsidRPr="00113A25" w:rsidRDefault="00087803" w:rsidP="00B50B27">
      <w:pPr>
        <w:pStyle w:val="11"/>
      </w:pPr>
      <w:r w:rsidRPr="00113A25">
        <w:t>Розвиток ринкових відносин в економіці України став основною передумовою проведення земельної реформи. За сучасних умов земля набуває статусу товару, стаючи об’єктом купівлі-продажу на ринку земельних ресурсів. Унаслідок реалізації права власності на землю формується специфічний вид доходу, який отримав назву земельної ренти.</w:t>
      </w:r>
    </w:p>
    <w:p w:rsidR="00087803" w:rsidRPr="00113A25" w:rsidRDefault="00087803" w:rsidP="00B50B27">
      <w:pPr>
        <w:pStyle w:val="11"/>
      </w:pPr>
      <w:r w:rsidRPr="00113A25">
        <w:t xml:space="preserve">Земельна рента (від нім. </w:t>
      </w:r>
      <w:proofErr w:type="spellStart"/>
      <w:r w:rsidRPr="00113A25">
        <w:t>Rente</w:t>
      </w:r>
      <w:proofErr w:type="spellEnd"/>
      <w:r w:rsidRPr="00113A25">
        <w:t xml:space="preserve">, </w:t>
      </w:r>
      <w:proofErr w:type="spellStart"/>
      <w:r w:rsidRPr="00113A25">
        <w:t>фр</w:t>
      </w:r>
      <w:proofErr w:type="spellEnd"/>
      <w:r w:rsidRPr="00113A25">
        <w:t xml:space="preserve">. </w:t>
      </w:r>
      <w:proofErr w:type="spellStart"/>
      <w:r w:rsidRPr="00113A25">
        <w:t>Rente</w:t>
      </w:r>
      <w:proofErr w:type="spellEnd"/>
      <w:r w:rsidRPr="00113A25">
        <w:t xml:space="preserve">, лат. </w:t>
      </w:r>
      <w:proofErr w:type="spellStart"/>
      <w:r w:rsidRPr="00113A25">
        <w:t>redo</w:t>
      </w:r>
      <w:proofErr w:type="spellEnd"/>
      <w:r w:rsidRPr="00113A25">
        <w:t xml:space="preserve"> – повертаю, сплачую) визначається як особливий вид стабільного доходу, що генерується від капіталу, землі, майна, цінних паперів тощо, і не пов'язаний із підприємницькою діяльністю. Ця категорія доходу існує у різних формах: диференційованій, абсолютній, монопольній – що є характерними для землевласників; ренті за специфічні умови використання корисних копалин; доходах від здачі приміщень у престижних районах міст тощо [</w:t>
      </w:r>
      <w:r w:rsidR="00543F14" w:rsidRPr="00113A25">
        <w:rPr>
          <w:rStyle w:val="ad"/>
        </w:rPr>
        <w:endnoteReference w:id="1"/>
      </w:r>
      <w:r w:rsidRPr="00113A25">
        <w:t>].</w:t>
      </w:r>
      <w:r w:rsidR="00DA4678" w:rsidRPr="00113A25">
        <w:t xml:space="preserve"> Підходи до визначення сутності поняття земельної ренти за зарубіжними науковцями наведено на рис. 1.1. </w:t>
      </w:r>
    </w:p>
    <w:p w:rsidR="004E34CB" w:rsidRPr="00113A25" w:rsidRDefault="00087803" w:rsidP="00B50B27">
      <w:pPr>
        <w:pStyle w:val="11"/>
      </w:pPr>
      <w:r w:rsidRPr="00113A25">
        <w:t xml:space="preserve">З історичної перспективи рента стала сприйматися як стабільний нетрудовий дохід, що виникає внаслідок використання засобів виробництва з обмеженою пропозицією. Теоретичні основи формування земельної ренти були закладені представниками класичної політичної економії, зокрема В. Петі, А. Смітом і Д. Рікардо. У своїй праці </w:t>
      </w:r>
      <w:r w:rsidR="00B06721" w:rsidRPr="00113A25">
        <w:t>«</w:t>
      </w:r>
      <w:r w:rsidRPr="00113A25">
        <w:t>Трактат про податки та збори</w:t>
      </w:r>
      <w:r w:rsidR="00B06721" w:rsidRPr="00113A25">
        <w:t>»</w:t>
      </w:r>
      <w:r w:rsidRPr="00113A25">
        <w:t xml:space="preserve"> В. Петі описав ренту як залишок продукції землероба після відрахування витрат на сівбу, власного споживання та обміну на необхідні товари, який можна вважати природною рентою певного року. Петі також визначив основні чинники формування ренти, серед яких: рівень цін на сільськогосподарську продукцію, природна й економічна родючість землі, а також місце розташування земельної ділянки [</w:t>
      </w:r>
      <w:r w:rsidR="004E34CB" w:rsidRPr="00113A25">
        <w:rPr>
          <w:rStyle w:val="ad"/>
        </w:rPr>
        <w:endnoteReference w:id="2"/>
      </w:r>
      <w:r w:rsidR="004E34CB" w:rsidRPr="00113A25">
        <w:t>, с. 31].</w:t>
      </w:r>
    </w:p>
    <w:p w:rsidR="004E34CB" w:rsidRPr="00113A25" w:rsidRDefault="004E34CB" w:rsidP="00B50B27">
      <w:pPr>
        <w:pStyle w:val="11"/>
        <w:ind w:firstLine="0"/>
      </w:pPr>
      <w:r w:rsidRPr="00113A25">
        <w:rPr>
          <w:noProof/>
        </w:rPr>
        <w:lastRenderedPageBreak/>
        <w:drawing>
          <wp:inline distT="0" distB="0" distL="0" distR="0" wp14:anchorId="56ACC75F" wp14:editId="3D69768E">
            <wp:extent cx="6074228" cy="5703570"/>
            <wp:effectExtent l="0" t="57150" r="0" b="4953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E34CB" w:rsidRPr="00113A25" w:rsidRDefault="004E34CB" w:rsidP="00B50B27">
      <w:pPr>
        <w:pStyle w:val="11"/>
      </w:pPr>
      <w:r w:rsidRPr="00113A25">
        <w:t>Рисунок 1.1 – Підходи до визначення сутності «земельна рента» [</w:t>
      </w:r>
      <w:r w:rsidRPr="00113A25">
        <w:rPr>
          <w:rStyle w:val="ad"/>
        </w:rPr>
        <w:endnoteReference w:id="3"/>
      </w:r>
      <w:r w:rsidRPr="00113A25">
        <w:t>]</w:t>
      </w:r>
    </w:p>
    <w:p w:rsidR="004E34CB" w:rsidRPr="00113A25" w:rsidRDefault="004E34CB" w:rsidP="00B50B27">
      <w:pPr>
        <w:pStyle w:val="11"/>
      </w:pPr>
    </w:p>
    <w:p w:rsidR="000C60E3" w:rsidRPr="00113A25" w:rsidRDefault="000C60E3" w:rsidP="000C60E3">
      <w:pPr>
        <w:pStyle w:val="11"/>
      </w:pPr>
      <w:r w:rsidRPr="00113A25">
        <w:t xml:space="preserve">А. Сміт і Д. Рікардо продовжили дослідження механізмів формування земельної ренти у контексті законів розвитку товарного виробництва. Вони зосередилися на науковому обґрунтуванні механізму утворення диференційованої ренти. Утім, щодо абсолютної земельної ренти їх концепції виявилися менш ґрунтовними, оскільки цей вид доходу пов’язаний із механізмом реалізації нетрудової приватної власності на землю, що виходить за межі суто товарних відносин. Таким чином, повноцінне пояснення </w:t>
      </w:r>
      <w:r w:rsidRPr="00113A25">
        <w:lastRenderedPageBreak/>
        <w:t>утворення абсолютної ренти залишається поза межами теорій класиків політичної економії.</w:t>
      </w:r>
    </w:p>
    <w:p w:rsidR="004E34CB" w:rsidRPr="00113A25" w:rsidRDefault="004E34CB" w:rsidP="00B50B27">
      <w:pPr>
        <w:pStyle w:val="11"/>
      </w:pPr>
      <w:r w:rsidRPr="00113A25">
        <w:t xml:space="preserve">У своїй праці «Дослідження про природу і причини багатства народів» А. Сміт визначає земельну ренту як дохід, отримуваний землевласником із землі. Учений виокремлює ті ж </w:t>
      </w:r>
      <w:proofErr w:type="spellStart"/>
      <w:r w:rsidRPr="00113A25">
        <w:t>рентотвірні</w:t>
      </w:r>
      <w:proofErr w:type="spellEnd"/>
      <w:r w:rsidRPr="00113A25">
        <w:t xml:space="preserve"> чинники, що й В. Петі, наголошуючи на важливості вкладення праці та капіталу в землю, які значною мірою впливають на величину ренти.</w:t>
      </w:r>
    </w:p>
    <w:p w:rsidR="004E34CB" w:rsidRPr="00113A25" w:rsidRDefault="004E34CB" w:rsidP="00B50B27">
      <w:pPr>
        <w:pStyle w:val="11"/>
      </w:pPr>
      <w:r w:rsidRPr="00113A25">
        <w:t>Д. Рікардо, у своїй роботі «Начала економічної теорії та оподаткування», характеризує ренту як частину «продукту землі, що виплачується землевласнику за користування первинними і незруйнованими силами ґрунту» [</w:t>
      </w:r>
      <w:r w:rsidRPr="00113A25">
        <w:rPr>
          <w:rStyle w:val="ad"/>
        </w:rPr>
        <w:endnoteReference w:id="4"/>
      </w:r>
      <w:r w:rsidRPr="00113A25">
        <w:t>]. Однак це твердження викликає певні заперечення, оскільки практика свідчить, що «сили ґрунту» піддаються постійним змінам. Раціональне землекористування та ефективне вкладення праці й капіталу сприяють їх покращенню, тоді як недбале використання призводить до погіршення. Д. Рікардо визнавав існування лише диференціальної ренти І, акцентуючи увагу на тому, що її величина залежить виключно від природної родючості та місця розташування земельної ділянки. При цьому він зазначав, що земельну ренту можна отримати лише на найкращих ділянках, тоді як на гірших землях рента відсутня.</w:t>
      </w:r>
    </w:p>
    <w:p w:rsidR="004E34CB" w:rsidRPr="00113A25" w:rsidRDefault="004E34CB" w:rsidP="00B50B27">
      <w:pPr>
        <w:pStyle w:val="11"/>
      </w:pPr>
      <w:r w:rsidRPr="00113A25">
        <w:t xml:space="preserve">Фізіократ А. </w:t>
      </w:r>
      <w:proofErr w:type="spellStart"/>
      <w:r w:rsidRPr="00113A25">
        <w:t>Тюрго</w:t>
      </w:r>
      <w:proofErr w:type="spellEnd"/>
      <w:r w:rsidRPr="00113A25">
        <w:t xml:space="preserve"> у своїх дослідженнях стверджував, що земля та чистий прибуток, отриманий із неї, є єдиним джерелом національного багатства. Він зазначав, що «не існує і не може існувати іншого доходу, окрім чистого прибутку землі» [</w:t>
      </w:r>
      <w:r w:rsidRPr="00113A25">
        <w:rPr>
          <w:rStyle w:val="ad"/>
        </w:rPr>
        <w:endnoteReference w:id="5"/>
      </w:r>
      <w:r w:rsidRPr="00113A25">
        <w:t xml:space="preserve">]. Однак </w:t>
      </w:r>
      <w:proofErr w:type="spellStart"/>
      <w:r w:rsidRPr="00113A25">
        <w:t>Тюрго</w:t>
      </w:r>
      <w:proofErr w:type="spellEnd"/>
      <w:r w:rsidRPr="00113A25">
        <w:t xml:space="preserve"> визнавав вплив вкладення праці та капіталу на формування диференціальної ренти ІІ.</w:t>
      </w:r>
    </w:p>
    <w:p w:rsidR="004E34CB" w:rsidRPr="00113A25" w:rsidRDefault="004E34CB" w:rsidP="00B50B27">
      <w:pPr>
        <w:pStyle w:val="11"/>
      </w:pPr>
      <w:r w:rsidRPr="00113A25">
        <w:t>К. Маркс здійснив ґрунтовний аналіз рентних відносин, розширивши теорію за рахунок пояснення механізму утворення абсолютної ренти на основі закону вартості. Він стверджував, що монополія приватної власності на землю є основною причиною формування ренти: «власність на землю сама створила ренту» [</w:t>
      </w:r>
      <w:r w:rsidRPr="00113A25">
        <w:rPr>
          <w:rStyle w:val="ad"/>
        </w:rPr>
        <w:endnoteReference w:id="6"/>
      </w:r>
      <w:r w:rsidRPr="00113A25">
        <w:t xml:space="preserve">]. За його теорією, абсолютна рента виникає лише за умови, коли </w:t>
      </w:r>
      <w:r w:rsidRPr="00113A25">
        <w:lastRenderedPageBreak/>
        <w:t>органічна будова капіталу в сільському господарстві є нижчою, ніж середньогалузева будова промислового капіталу.</w:t>
      </w:r>
    </w:p>
    <w:p w:rsidR="004E34CB" w:rsidRPr="00113A25" w:rsidRDefault="004E34CB" w:rsidP="00B50B27">
      <w:pPr>
        <w:pStyle w:val="11"/>
      </w:pPr>
      <w:r w:rsidRPr="00113A25">
        <w:t>Це положення стало предметом дискусій у 1970-х роках, коли у високорозвинених індустріальних країнах органічна будова капіталу в сільському господарстві зрівнялася, а в окремих випадках перевищила середньогалузеву будову промислового капіталу. Одні економісти дійшли висновку, що за таких умов абсолютна рента зникає, незважаючи на збереження її основної причини – монополії приватної власності на землю. Інші стверджували, що рента продовжує існувати, оскільки монополія на землю залишається, а за відповідного перерахунку органічна будова капіталу у сільському господарстві все ще нижча, ніж у промисловості.</w:t>
      </w:r>
    </w:p>
    <w:p w:rsidR="008B699B" w:rsidRPr="00113A25" w:rsidRDefault="004E34CB" w:rsidP="00B50B27">
      <w:pPr>
        <w:pStyle w:val="11"/>
      </w:pPr>
      <w:r w:rsidRPr="00113A25">
        <w:t xml:space="preserve">Значний внесок у розвиток теорії земельної ренти здійснили Йоганн Генріх Фон </w:t>
      </w:r>
      <w:proofErr w:type="spellStart"/>
      <w:r w:rsidRPr="00113A25">
        <w:t>Тюнен</w:t>
      </w:r>
      <w:proofErr w:type="spellEnd"/>
      <w:r w:rsidRPr="00113A25">
        <w:t xml:space="preserve"> та його послідовник Вільгельм </w:t>
      </w:r>
      <w:proofErr w:type="spellStart"/>
      <w:r w:rsidRPr="00113A25">
        <w:t>Лаунхардт</w:t>
      </w:r>
      <w:proofErr w:type="spellEnd"/>
      <w:r w:rsidRPr="00113A25">
        <w:t xml:space="preserve">. У праці «Ізольована держава» Фон </w:t>
      </w:r>
      <w:proofErr w:type="spellStart"/>
      <w:r w:rsidRPr="00113A25">
        <w:t>Тюнен</w:t>
      </w:r>
      <w:proofErr w:type="spellEnd"/>
      <w:r w:rsidRPr="00113A25">
        <w:t xml:space="preserve"> стверджує, що визначальним чинником, який характеризує земельну ренту, є місце розташування земельної ділянки. За його концепцією, у межах ізольованої держави родючість усіх земель вважається однаковою, а рівень ренти зменшується зі збільшенням відстані земельної ділянки від ринку збуту.</w:t>
      </w:r>
    </w:p>
    <w:p w:rsidR="004E34CB" w:rsidRPr="00113A25" w:rsidRDefault="004E34CB" w:rsidP="00B50B27">
      <w:pPr>
        <w:pStyle w:val="11"/>
      </w:pPr>
      <w:r w:rsidRPr="00113A25">
        <w:t xml:space="preserve">В. </w:t>
      </w:r>
      <w:proofErr w:type="spellStart"/>
      <w:r w:rsidRPr="00113A25">
        <w:t>Лаунхардт</w:t>
      </w:r>
      <w:proofErr w:type="spellEnd"/>
      <w:r w:rsidRPr="00113A25">
        <w:t xml:space="preserve"> розвинув цю ідею, запропонувавши «рентну функцію» [</w:t>
      </w:r>
      <w:r w:rsidRPr="00113A25">
        <w:rPr>
          <w:rStyle w:val="ad"/>
        </w:rPr>
        <w:endnoteReference w:id="7"/>
      </w:r>
      <w:r w:rsidRPr="00113A25">
        <w:t>, с. 110], яка дозволяє кількісно оцінити залежність величини ренти від місця розташування земельної ділянки.</w:t>
      </w:r>
    </w:p>
    <w:p w:rsidR="004E34CB" w:rsidRPr="00113A25" w:rsidRDefault="004E34CB" w:rsidP="00B50B27">
      <w:pPr>
        <w:pStyle w:val="11"/>
      </w:pPr>
      <w:r w:rsidRPr="00113A25">
        <w:t xml:space="preserve">Теорія земельної ренти також посідає вагоме місце у спадщині українського економіста М. </w:t>
      </w:r>
      <w:proofErr w:type="spellStart"/>
      <w:r w:rsidRPr="00113A25">
        <w:t>Туган</w:t>
      </w:r>
      <w:proofErr w:type="spellEnd"/>
      <w:r w:rsidRPr="00113A25">
        <w:t>-Барановського. У своїй праці з політичної економії він зазначає, що в періоди, коли населення було незначним і земельних ресурсів вистачало всім, земля була доступною для товаровиробників безоплатно. Усі витрати праці на її освоєння враховувалися у вартості виробленої продукції [</w:t>
      </w:r>
      <w:r w:rsidRPr="00113A25">
        <w:rPr>
          <w:rStyle w:val="ad"/>
        </w:rPr>
        <w:endnoteReference w:id="8"/>
      </w:r>
      <w:r w:rsidRPr="00113A25">
        <w:t xml:space="preserve">, с. 194–197]. </w:t>
      </w:r>
    </w:p>
    <w:p w:rsidR="004E34CB" w:rsidRPr="00113A25" w:rsidRDefault="004E34CB" w:rsidP="00B50B27">
      <w:pPr>
        <w:pStyle w:val="11"/>
      </w:pPr>
      <w:r w:rsidRPr="00113A25">
        <w:t xml:space="preserve">Однак із зростанням чисельності населення та підвищенням потреби у сільськогосподарській продукції земля почала сприйматися як дефіцитний ресурс, що потребує розподілу серед виробників. Це призвело до конфлікту </w:t>
      </w:r>
      <w:r w:rsidRPr="00113A25">
        <w:lastRenderedPageBreak/>
        <w:t xml:space="preserve">економічних інтересів та формування трудового права на землю, яке, за </w:t>
      </w:r>
      <w:proofErr w:type="spellStart"/>
      <w:r w:rsidRPr="00113A25">
        <w:t>Туган</w:t>
      </w:r>
      <w:proofErr w:type="spellEnd"/>
      <w:r w:rsidRPr="00113A25">
        <w:t>-Барановським, стає основою для виникнення земельної ренти. Він трактував ренту як «нетрудовий дохід, що виникає внаслідок використання стійких корисних властивостей землі».</w:t>
      </w:r>
    </w:p>
    <w:p w:rsidR="004E34CB" w:rsidRPr="00113A25" w:rsidRDefault="004E34CB" w:rsidP="00B50B27">
      <w:pPr>
        <w:pStyle w:val="11"/>
      </w:pPr>
      <w:r w:rsidRPr="00113A25">
        <w:t xml:space="preserve">Сучасні українські науковці, такі як І. Малий, В. Кушнір, І. </w:t>
      </w:r>
      <w:proofErr w:type="spellStart"/>
      <w:r w:rsidRPr="00113A25">
        <w:t>Михасюк</w:t>
      </w:r>
      <w:proofErr w:type="spellEnd"/>
      <w:r w:rsidRPr="00113A25">
        <w:t xml:space="preserve">, А. Третяк, С. </w:t>
      </w:r>
      <w:proofErr w:type="spellStart"/>
      <w:r w:rsidRPr="00113A25">
        <w:t>Будаговська</w:t>
      </w:r>
      <w:proofErr w:type="spellEnd"/>
      <w:r w:rsidRPr="00113A25">
        <w:t xml:space="preserve">, О. </w:t>
      </w:r>
      <w:proofErr w:type="spellStart"/>
      <w:r w:rsidRPr="00113A25">
        <w:t>Кілієвич</w:t>
      </w:r>
      <w:proofErr w:type="spellEnd"/>
      <w:r w:rsidRPr="00113A25">
        <w:t xml:space="preserve">, С. </w:t>
      </w:r>
      <w:proofErr w:type="spellStart"/>
      <w:r w:rsidRPr="00113A25">
        <w:t>Кручок</w:t>
      </w:r>
      <w:proofErr w:type="spellEnd"/>
      <w:r w:rsidRPr="00113A25">
        <w:t xml:space="preserve">, С. </w:t>
      </w:r>
      <w:proofErr w:type="spellStart"/>
      <w:r w:rsidRPr="00113A25">
        <w:t>Мочерний</w:t>
      </w:r>
      <w:proofErr w:type="spellEnd"/>
      <w:r w:rsidRPr="00113A25">
        <w:t xml:space="preserve"> та інші, продовжують дослідження у цій сфері.</w:t>
      </w:r>
    </w:p>
    <w:p w:rsidR="004E34CB" w:rsidRPr="00113A25" w:rsidRDefault="004E34CB" w:rsidP="00B06721">
      <w:pPr>
        <w:pStyle w:val="11"/>
        <w:ind w:firstLine="142"/>
      </w:pPr>
      <w:r w:rsidRPr="00113A25">
        <w:rPr>
          <w:noProof/>
        </w:rPr>
        <w:drawing>
          <wp:inline distT="0" distB="0" distL="0" distR="0" wp14:anchorId="11F606C5" wp14:editId="266E7D99">
            <wp:extent cx="5888990" cy="5323115"/>
            <wp:effectExtent l="0" t="57150" r="0" b="4953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4E34CB" w:rsidRPr="00113A25" w:rsidRDefault="004E34CB" w:rsidP="00B06721">
      <w:pPr>
        <w:pStyle w:val="11"/>
      </w:pPr>
      <w:r w:rsidRPr="00113A25">
        <w:t xml:space="preserve">Рисунок </w:t>
      </w:r>
      <w:r w:rsidR="00777DE9" w:rsidRPr="00113A25">
        <w:t>1.2</w:t>
      </w:r>
      <w:r w:rsidRPr="00113A25">
        <w:t xml:space="preserve"> – Підходи до визначення сутності «земельна рента» вітчизняними науковцями [</w:t>
      </w:r>
      <w:r w:rsidRPr="00113A25">
        <w:rPr>
          <w:rStyle w:val="ad"/>
        </w:rPr>
        <w:endnoteReference w:id="9"/>
      </w:r>
      <w:r w:rsidRPr="00113A25">
        <w:t>;</w:t>
      </w:r>
      <w:r w:rsidRPr="00113A25">
        <w:rPr>
          <w:rStyle w:val="ad"/>
        </w:rPr>
        <w:endnoteReference w:id="10"/>
      </w:r>
      <w:r w:rsidRPr="00113A25">
        <w:t>]</w:t>
      </w:r>
    </w:p>
    <w:p w:rsidR="004E34CB" w:rsidRPr="00113A25" w:rsidRDefault="004E34CB" w:rsidP="00B50B27">
      <w:pPr>
        <w:pStyle w:val="11"/>
      </w:pPr>
    </w:p>
    <w:p w:rsidR="004E34CB" w:rsidRPr="00113A25" w:rsidRDefault="004E34CB" w:rsidP="00B50B27">
      <w:pPr>
        <w:pStyle w:val="11"/>
      </w:pPr>
      <w:r w:rsidRPr="00113A25">
        <w:t xml:space="preserve">Зокрема, С. </w:t>
      </w:r>
      <w:proofErr w:type="spellStart"/>
      <w:r w:rsidRPr="00113A25">
        <w:t>Кручок</w:t>
      </w:r>
      <w:proofErr w:type="spellEnd"/>
      <w:r w:rsidRPr="00113A25">
        <w:t xml:space="preserve"> визначає земельну ренту як дохід землевласника, у якому реалізується право власності на землю [</w:t>
      </w:r>
      <w:r w:rsidRPr="00113A25">
        <w:rPr>
          <w:rStyle w:val="ad"/>
        </w:rPr>
        <w:endnoteReference w:id="11"/>
      </w:r>
      <w:r w:rsidRPr="00113A25">
        <w:t xml:space="preserve">, с. 54]. Він виокремлює </w:t>
      </w:r>
      <w:r w:rsidRPr="00113A25">
        <w:lastRenderedPageBreak/>
        <w:t xml:space="preserve">абсолютну та диференціальну ренту, зазначаючи, що земельна рента є сумою цих двох видів. Серед основних </w:t>
      </w:r>
      <w:proofErr w:type="spellStart"/>
      <w:r w:rsidRPr="00113A25">
        <w:t>рентотвірних</w:t>
      </w:r>
      <w:proofErr w:type="spellEnd"/>
      <w:r w:rsidRPr="00113A25">
        <w:t xml:space="preserve"> чинників дослідник називає: ціни на сільськогосподарську продукцію, природну та економічну родючість ґрунту, місце розташування земельної ділянки та інтенсифікацію виробництва.</w:t>
      </w:r>
    </w:p>
    <w:p w:rsidR="004E34CB" w:rsidRPr="00113A25" w:rsidRDefault="004E34CB" w:rsidP="00B50B27">
      <w:pPr>
        <w:pStyle w:val="11"/>
      </w:pPr>
      <w:r w:rsidRPr="00113A25">
        <w:t>І. Малий, у свою чергу, вбачає джерело ренти у приватній власності на землю. Він стверджує, що саме факт володіння землею гарантує власнику «</w:t>
      </w:r>
      <w:proofErr w:type="spellStart"/>
      <w:r w:rsidRPr="00113A25">
        <w:t>дожиттєвий</w:t>
      </w:r>
      <w:proofErr w:type="spellEnd"/>
      <w:r w:rsidRPr="00113A25">
        <w:t xml:space="preserve"> дохід» [</w:t>
      </w:r>
      <w:r w:rsidRPr="00113A25">
        <w:rPr>
          <w:rStyle w:val="ad"/>
        </w:rPr>
        <w:endnoteReference w:id="12"/>
      </w:r>
      <w:r w:rsidRPr="00113A25">
        <w:t>, с. 105]. Таке твердження є обґрунтованим, адже приватна власність обмежує вільний доступ сільськогосподарських виробників до землі як основного засобу виробництва. Лише за згодою землевласника, що супроводжується оплатою у формі земельної ренти, можливо отримати право на її використання.</w:t>
      </w:r>
    </w:p>
    <w:p w:rsidR="004E34CB" w:rsidRPr="00113A25" w:rsidRDefault="004E34CB" w:rsidP="00B50B27">
      <w:pPr>
        <w:pStyle w:val="11"/>
      </w:pPr>
      <w:r w:rsidRPr="00113A25">
        <w:t xml:space="preserve">С. </w:t>
      </w:r>
      <w:proofErr w:type="spellStart"/>
      <w:r w:rsidRPr="00113A25">
        <w:t>Мочерний</w:t>
      </w:r>
      <w:proofErr w:type="spellEnd"/>
      <w:r w:rsidRPr="00113A25">
        <w:t xml:space="preserve"> у своїх наукових поглядах визначає земельну ренту як «форму економічної реалізації власності на землю» та пропонує, на нашу думку, найбільш повне трактування цієї категорії. Він розглядає земельну ренту як систему економічних відносин між власниками землі, суб’єктами господарювання та найманими працівниками, що виникають у процесі праці та привласнення її результатів у різних сферах суспільного відтворення [</w:t>
      </w:r>
      <w:r w:rsidRPr="00113A25">
        <w:rPr>
          <w:rStyle w:val="ad"/>
        </w:rPr>
        <w:endnoteReference w:id="13"/>
      </w:r>
      <w:r w:rsidRPr="00113A25">
        <w:t>, с. 430].</w:t>
      </w:r>
    </w:p>
    <w:p w:rsidR="004E34CB" w:rsidRPr="00113A25" w:rsidRDefault="004E34CB" w:rsidP="00B50B27">
      <w:pPr>
        <w:pStyle w:val="11"/>
      </w:pPr>
      <w:r w:rsidRPr="00113A25">
        <w:t xml:space="preserve">У рамках свого аналізу С. </w:t>
      </w:r>
      <w:proofErr w:type="spellStart"/>
      <w:r w:rsidRPr="00113A25">
        <w:t>Мочерний</w:t>
      </w:r>
      <w:proofErr w:type="spellEnd"/>
      <w:r w:rsidRPr="00113A25">
        <w:t xml:space="preserve"> виокремлює три основні форми земельної ренти: диференціальну, абсолютну та монопольну. Диференціальну ренту він поділяє на два типи: диференціальну ренту І та диференціальну ренту ІІ. Виникнення диференціальної ренти І, за його переконанням, обумовлено природною родючістю ґрунту та місцем розташування земельної ділянки. Натомість диференціальна рента ІІ утворюється завдяки інтенсивному веденню господарської діяльності, що забезпечує економічну родючість ґрунтів. Абсолютна рента, на думку вченого, виникає через монополію приватної власності на землю. Монопольна рента формується на землях із унікальними ґрунтово-кліматичними умовами, які дозволяють вирощувати екзотичні культури.</w:t>
      </w:r>
    </w:p>
    <w:p w:rsidR="004E34CB" w:rsidRPr="00113A25" w:rsidRDefault="004E34CB" w:rsidP="00B50B27">
      <w:pPr>
        <w:pStyle w:val="11"/>
      </w:pPr>
      <w:r w:rsidRPr="00113A25">
        <w:lastRenderedPageBreak/>
        <w:t xml:space="preserve">Особливу увагу заслуговує трактування ренти, запропоноване І. </w:t>
      </w:r>
      <w:proofErr w:type="spellStart"/>
      <w:r w:rsidRPr="00113A25">
        <w:t>Михасюком</w:t>
      </w:r>
      <w:proofErr w:type="spellEnd"/>
      <w:r w:rsidRPr="00113A25">
        <w:t>. Він визначає ренту як економічне явище, що відображає постійно отримувану частку доходу від капіталу, майна чи землі, яка не залежить від підприємницької діяльності власника. Згідно з його підходом, земельна рента є однією з форм розподілу створеного національного доходу [</w:t>
      </w:r>
      <w:r w:rsidRPr="00113A25">
        <w:rPr>
          <w:rStyle w:val="ad"/>
        </w:rPr>
        <w:endnoteReference w:id="14"/>
      </w:r>
      <w:r w:rsidRPr="00113A25">
        <w:t>, с. 138].</w:t>
      </w:r>
    </w:p>
    <w:p w:rsidR="004E34CB" w:rsidRPr="00113A25" w:rsidRDefault="004E34CB" w:rsidP="00B875B9">
      <w:pPr>
        <w:pStyle w:val="11"/>
      </w:pPr>
      <w:r w:rsidRPr="00113A25">
        <w:t xml:space="preserve">І. </w:t>
      </w:r>
      <w:proofErr w:type="spellStart"/>
      <w:r w:rsidRPr="00113A25">
        <w:t>Михасюк</w:t>
      </w:r>
      <w:proofErr w:type="spellEnd"/>
      <w:r w:rsidRPr="00113A25">
        <w:t xml:space="preserve"> наголошує на важливості місця розташування земельної ділянки як визначального чинника величини земельної ренти. Він стверджує, що близькість земельної ділянки до центру міста та обмеженість таких земель разом із розташованими на них будівлями сприяють формуванню монопольної земельної ренти.</w:t>
      </w:r>
    </w:p>
    <w:p w:rsidR="00B875B9" w:rsidRPr="00113A25" w:rsidRDefault="00B875B9" w:rsidP="00B875B9">
      <w:pPr>
        <w:pStyle w:val="11"/>
      </w:pPr>
      <w:r w:rsidRPr="00113A25">
        <w:t>Отже, земельна рента, як економічне явище, є результатом використання обмежених земельних ресурсів, що приносить стабільний дохід власнику землі. Вона виникає внаслідок природних та економічних характеристик земельних ділянок, таких як родючість ґрунту, місце розташування та інтенсивність використання. Класичні теорії земельної ренти, представлені працями В. Петі, А. Сміта, Д. Рікардо та інших, акцентують увагу на важливості приватної власності на землю та її монопольному характері як основної причини формування ренти. Сучасні дослідження поглиблюють ці теорії, додаючи нові аспекти, пов'язані з економічною родючістю ґрунтів та інтенсивністю виробництва. Трактування земельної ренти в різних наукових школах підкреслює її сутність як специфічний вид доходу, який випливає з ефективного використання земельних ресурсів і регулюється факторами власності та економічних умов.</w:t>
      </w:r>
    </w:p>
    <w:p w:rsidR="004E34CB" w:rsidRPr="00113A25" w:rsidRDefault="004E34CB" w:rsidP="00087803">
      <w:pPr>
        <w:spacing w:after="0" w:line="360" w:lineRule="auto"/>
        <w:ind w:firstLine="709"/>
        <w:jc w:val="both"/>
        <w:rPr>
          <w:rFonts w:ascii="Times New Roman" w:hAnsi="Times New Roman" w:cs="Times New Roman"/>
          <w:sz w:val="28"/>
          <w:szCs w:val="28"/>
        </w:rPr>
      </w:pPr>
    </w:p>
    <w:p w:rsidR="004E34CB" w:rsidRPr="00113A25" w:rsidRDefault="004E34CB" w:rsidP="00820585">
      <w:pPr>
        <w:spacing w:after="0" w:line="360" w:lineRule="auto"/>
        <w:ind w:firstLine="709"/>
        <w:jc w:val="both"/>
        <w:rPr>
          <w:rFonts w:ascii="Times New Roman" w:hAnsi="Times New Roman" w:cs="Times New Roman"/>
          <w:sz w:val="28"/>
          <w:szCs w:val="28"/>
        </w:rPr>
      </w:pPr>
    </w:p>
    <w:p w:rsidR="004E34CB" w:rsidRPr="00113A25" w:rsidRDefault="004E34CB" w:rsidP="00820585">
      <w:pPr>
        <w:pStyle w:val="1"/>
        <w:spacing w:before="0" w:line="360" w:lineRule="auto"/>
        <w:ind w:firstLine="709"/>
        <w:jc w:val="both"/>
        <w:rPr>
          <w:rFonts w:ascii="Times New Roman" w:hAnsi="Times New Roman" w:cs="Times New Roman"/>
          <w:b/>
          <w:color w:val="auto"/>
          <w:sz w:val="28"/>
          <w:szCs w:val="28"/>
        </w:rPr>
      </w:pPr>
      <w:bookmarkStart w:id="20" w:name="_Toc187523561"/>
      <w:r w:rsidRPr="00113A25">
        <w:rPr>
          <w:rFonts w:ascii="Times New Roman" w:hAnsi="Times New Roman" w:cs="Times New Roman"/>
          <w:b/>
          <w:color w:val="auto"/>
          <w:sz w:val="28"/>
          <w:szCs w:val="28"/>
        </w:rPr>
        <w:t>1.2. Види земельної ренти та їх відмінності</w:t>
      </w:r>
      <w:bookmarkEnd w:id="20"/>
      <w:r w:rsidRPr="00113A25">
        <w:rPr>
          <w:rFonts w:ascii="Times New Roman" w:hAnsi="Times New Roman" w:cs="Times New Roman"/>
          <w:b/>
          <w:color w:val="auto"/>
          <w:sz w:val="28"/>
          <w:szCs w:val="28"/>
        </w:rPr>
        <w:t xml:space="preserve">  </w:t>
      </w:r>
    </w:p>
    <w:p w:rsidR="004E34CB" w:rsidRPr="00113A25" w:rsidRDefault="004E34CB" w:rsidP="00B12A69">
      <w:pPr>
        <w:pStyle w:val="11"/>
      </w:pPr>
    </w:p>
    <w:p w:rsidR="001E2A9E" w:rsidRPr="00113A25" w:rsidRDefault="00B12A69" w:rsidP="00B12A69">
      <w:pPr>
        <w:pStyle w:val="11"/>
      </w:pPr>
      <w:r w:rsidRPr="00113A25">
        <w:t xml:space="preserve">Складовою частиною земельних відносин є рентні відносини, які виникають у контексті сільськогосподарського виробництва та пов’язані з процесом виробництва і привласнення додаткового продукту за умов </w:t>
      </w:r>
      <w:r w:rsidRPr="00113A25">
        <w:lastRenderedPageBreak/>
        <w:t>використання земельних ресурсів. Ефективність сільськогосподарського виробництва залежить від низки факторів, серед яких найбільш важливим є раціональне використання землі та її родючості.</w:t>
      </w:r>
    </w:p>
    <w:p w:rsidR="00B12A69" w:rsidRPr="00113A25" w:rsidRDefault="00B12A69" w:rsidP="00B12A69">
      <w:pPr>
        <w:pStyle w:val="11"/>
      </w:pPr>
      <w:r w:rsidRPr="00113A25">
        <w:t>Підприємці, що прагнуть ефективно вести свою діяльність, орієнтуються на отримання земельної ренти. У цьому контексті рента може як сприяти, так і гальмувати ефективність господарювання, зокрема в аграрному секторі. Земля, як основний засіб виробництва в сільському господарстві, є обмеженим ресурсом, який неможливо безмежно відтворювати. Обмеження земельного ресурсу проявляється не тільки в просторі, а й у часі. Однак найбільш обмеженими є землі з високою природною родючістю, оскільки такі ділянки, на відміну від інших засобів виробництва (наприклад, верстатів чи транспорту), не можна переміщати в просторі. Таким чином, володіння землею з високою природною продуктивністю надає значні переваги в аграрному виробництві. Наявність земельної власності гарантує отримання власником землі частки додаткового продукту у вигляді земельної ренти.</w:t>
      </w:r>
    </w:p>
    <w:p w:rsidR="00F22A82" w:rsidRPr="00113A25" w:rsidRDefault="00B12A69" w:rsidP="00B12A69">
      <w:pPr>
        <w:pStyle w:val="11"/>
      </w:pPr>
      <w:r w:rsidRPr="00113A25">
        <w:t xml:space="preserve">Існують різні види земельної ренти, серед яких можна виокремити: абсолютну, монопольну, диференціальну ренту та ренту в не сільськогосподарських секторах. </w:t>
      </w:r>
    </w:p>
    <w:p w:rsidR="001E2A9E" w:rsidRPr="00113A25" w:rsidRDefault="00B12A69" w:rsidP="00B12A69">
      <w:pPr>
        <w:pStyle w:val="11"/>
      </w:pPr>
      <w:r w:rsidRPr="00113A25">
        <w:t>Абсолютна земельна</w:t>
      </w:r>
      <w:r w:rsidR="00F140E9" w:rsidRPr="00113A25">
        <w:t xml:space="preserve"> </w:t>
      </w:r>
      <w:r w:rsidRPr="00113A25">
        <w:t xml:space="preserve">рента виникає внаслідок монополії приватної власності на землю. Вона з’являється, коли держава як власник землі встановлює її ціну та земельний податок. Така монополія на землю генерує абсолютну ренту, яка стягується з усіх видів землі, незалежно від її природних характеристик. </w:t>
      </w:r>
    </w:p>
    <w:p w:rsidR="00F22A82" w:rsidRPr="00113A25" w:rsidRDefault="00B12A69" w:rsidP="00B12A69">
      <w:pPr>
        <w:pStyle w:val="11"/>
      </w:pPr>
      <w:r w:rsidRPr="00113A25">
        <w:t xml:space="preserve">Абсолютна рента не залежить від економічних чи природних умов ведення сільського господарства, а є наслідком монопольного контролю за власністю на землю. Це означає, що власник землі здає її в оренду лише за умови отримання орендної плати. </w:t>
      </w:r>
    </w:p>
    <w:p w:rsidR="00B12A69" w:rsidRPr="00113A25" w:rsidRDefault="00B12A69" w:rsidP="00B12A69">
      <w:pPr>
        <w:pStyle w:val="11"/>
      </w:pPr>
      <w:r w:rsidRPr="00113A25">
        <w:t xml:space="preserve">Орендна плата може бути встановлена навіть для менш родючих земель, якщо виникає необхідність їх використання. Однією з причин цього є обмеження в обсягах виробництва сільськогосподарської продукції та </w:t>
      </w:r>
      <w:r w:rsidRPr="00113A25">
        <w:lastRenderedPageBreak/>
        <w:t>можливе безробіття в певній місцевості. Це питання може бути вирішене за умови, що попит на продукцію перевищить її пропозицію, що дозволить забезпечити вищі ринкові ціни і отримання економічного прибутку у вигляді абсолютної ренти.</w:t>
      </w:r>
    </w:p>
    <w:p w:rsidR="001E2A9E" w:rsidRPr="00113A25" w:rsidRDefault="001E2A9E" w:rsidP="001E2A9E">
      <w:pPr>
        <w:pStyle w:val="11"/>
      </w:pPr>
      <w:r w:rsidRPr="00113A25">
        <w:t>Причинами формування абсолютної ренти є:</w:t>
      </w:r>
    </w:p>
    <w:p w:rsidR="001E2A9E" w:rsidRPr="00113A25" w:rsidRDefault="001E2A9E" w:rsidP="001E2A9E">
      <w:pPr>
        <w:pStyle w:val="11"/>
        <w:numPr>
          <w:ilvl w:val="0"/>
          <w:numId w:val="3"/>
        </w:numPr>
        <w:ind w:left="0" w:firstLine="851"/>
      </w:pPr>
      <w:r w:rsidRPr="00113A25">
        <w:t>природні обмеження. Абсолютна рента утворюється через обмеженість природних ресурсів, таких як земля, водні ресурси, корисні копалини тощо. Зокрема, земля та надра, що мають природні особливості, які сприяють отриманню високих доходів, можуть бути джерелом абсолютної ренти;</w:t>
      </w:r>
    </w:p>
    <w:p w:rsidR="001E2A9E" w:rsidRPr="00113A25" w:rsidRDefault="001E2A9E" w:rsidP="001E2A9E">
      <w:pPr>
        <w:pStyle w:val="11"/>
        <w:numPr>
          <w:ilvl w:val="0"/>
          <w:numId w:val="3"/>
        </w:numPr>
        <w:ind w:left="0" w:firstLine="851"/>
      </w:pPr>
      <w:r w:rsidRPr="00113A25">
        <w:t>високий попит на обмежені ресурси. У випадку, коли природні ресурси мають обмежену доступність або є необхідними для задоволення потреб у певній продукції, це призводить до утворення абсолютної ренти. Наприклад, високий попит на землі з родючими ґрунтами чи корисними копалинами сприяє зростанню доходів, що можна отримати від їх використання;</w:t>
      </w:r>
    </w:p>
    <w:p w:rsidR="001E2A9E" w:rsidRPr="00113A25" w:rsidRDefault="001E2A9E" w:rsidP="001E2A9E">
      <w:pPr>
        <w:pStyle w:val="11"/>
        <w:numPr>
          <w:ilvl w:val="0"/>
          <w:numId w:val="3"/>
        </w:numPr>
        <w:ind w:left="0" w:firstLine="851"/>
      </w:pPr>
      <w:proofErr w:type="spellStart"/>
      <w:r w:rsidRPr="00113A25">
        <w:t>невідтворюваність</w:t>
      </w:r>
      <w:proofErr w:type="spellEnd"/>
      <w:r w:rsidRPr="00113A25">
        <w:t xml:space="preserve"> ресурсів. Ресурси, які є обмеженими та не можуть бути відновлені, такі як корисні копалини, створюють умови для отримання абсолютної ренти, оскільки вони доступні лише в певних місцях і не можуть бути заміщені.</w:t>
      </w:r>
    </w:p>
    <w:p w:rsidR="00F22A82" w:rsidRPr="00113A25" w:rsidRDefault="00B12A69" w:rsidP="00B12A69">
      <w:pPr>
        <w:pStyle w:val="11"/>
      </w:pPr>
      <w:r w:rsidRPr="00113A25">
        <w:t xml:space="preserve">Причиною виникнення абсолютної земельної ренти є монополія приватної власності на землю. У разі гірших земельних ділянок, землевласники не отримують диференціальної ренти, що позбавляє цю землю її економічного значення, адже вона повинна приносити дохід. Тому власники таких ділянок погоджуються на їх обробіток лише за умови отримання цього доходу, що фактично є реалізацією їх власності на землю. Водночас землевласники ділянок середньої та високої якості підтримують цей процес, що створює монополію приватної власності на землю. </w:t>
      </w:r>
    </w:p>
    <w:p w:rsidR="00B12A69" w:rsidRPr="00113A25" w:rsidRDefault="00B12A69" w:rsidP="00B12A69">
      <w:pPr>
        <w:pStyle w:val="11"/>
      </w:pPr>
      <w:r w:rsidRPr="00113A25">
        <w:t xml:space="preserve">В Україні з впровадженням приватної форми власності на землю та створенням умов для функціонування різних форм підприємств у сільському </w:t>
      </w:r>
      <w:r w:rsidRPr="00113A25">
        <w:lastRenderedPageBreak/>
        <w:t>господарстві виникла реальна основа для абсолютної земельної ренти як економічної форми реалізації права власності на землю. У рамках розвитку орендних відносин частина орендної плати, що виключає витрати на робочу силу, засоби виробництва та кредит, набуває характеру абсолютної земельної ренти.</w:t>
      </w:r>
    </w:p>
    <w:p w:rsidR="002F2A47" w:rsidRPr="00113A25" w:rsidRDefault="00B12A69" w:rsidP="00B12A69">
      <w:pPr>
        <w:pStyle w:val="11"/>
      </w:pPr>
      <w:r w:rsidRPr="00113A25">
        <w:t xml:space="preserve">Окрім абсолютної ренти, в регіонах з різноманітними природно-кліматичними умовами також існує монопольна рента, що представляє собою різницю між завищеною ціною на рідкісні сільськогосподарські продукти і їх суспільною вартістю. Цей вид ренти виникає за рахунок суспільства, утворюючи завищену або довільну ціну. Умовами виникнення монопольної ренти є обмеженість і </w:t>
      </w:r>
      <w:proofErr w:type="spellStart"/>
      <w:r w:rsidRPr="00113A25">
        <w:t>невідтворюваність</w:t>
      </w:r>
      <w:proofErr w:type="spellEnd"/>
      <w:r w:rsidRPr="00113A25">
        <w:t xml:space="preserve"> земель особливої якості або специфічні кліматичні умови (наприклад, землі Закарпаття, Поділля). Вони характеризуються можливістю виробництва сільськогосподарської продукції з унікальними якісними властивостями (такими як виноград, яблука, певні види овочів, тютюн тощо), що неможливо зробити за допомогою нових земель. </w:t>
      </w:r>
    </w:p>
    <w:p w:rsidR="00B12A69" w:rsidRPr="00113A25" w:rsidRDefault="00B12A69" w:rsidP="00B12A69">
      <w:pPr>
        <w:pStyle w:val="11"/>
      </w:pPr>
      <w:r w:rsidRPr="00113A25">
        <w:t>Високий і постійний попит на таку продукцію, який не може бути задоволений через обмеженість земель, дає змогу встановлювати монопольно високі ціни. Різниця між ціною, що є результатом монопольного контролю, і економічними витратами, становить монопольну земельну ренту, яка залишається у власника землі. Ця рента також може бути присвоєна у разі, якщо власник і землекористувач є єдиною юридичною особою.</w:t>
      </w:r>
    </w:p>
    <w:p w:rsidR="00F140E9" w:rsidRPr="00113A25" w:rsidRDefault="00F140E9" w:rsidP="00F140E9">
      <w:pPr>
        <w:pStyle w:val="11"/>
      </w:pPr>
      <w:r w:rsidRPr="00113A25">
        <w:t>Причини формування монопольної ренти:</w:t>
      </w:r>
    </w:p>
    <w:p w:rsidR="00F140E9" w:rsidRPr="00113A25" w:rsidRDefault="00F140E9" w:rsidP="00F140E9">
      <w:pPr>
        <w:pStyle w:val="11"/>
      </w:pPr>
      <w:r w:rsidRPr="00113A25">
        <w:t>– обмежена конкуренція. Монопольна рента виникає, коли в певній галузі або на ринку відсутня конкуренція, і лише один суб’єкт або обмежена кількість суб’єктів контролюють значну частину пропозиції товару чи послуги;</w:t>
      </w:r>
    </w:p>
    <w:p w:rsidR="00F140E9" w:rsidRPr="00113A25" w:rsidRDefault="00F140E9" w:rsidP="00F140E9">
      <w:pPr>
        <w:pStyle w:val="11"/>
      </w:pPr>
      <w:r w:rsidRPr="00113A25">
        <w:t>– економія від масштабу. Великі підприємства, що займають монопольне становище, можуть знижувати середні витрати за рахунок масштабів виробництва, що дає їм змогу отримувати надприбутки;</w:t>
      </w:r>
    </w:p>
    <w:p w:rsidR="00F140E9" w:rsidRPr="00113A25" w:rsidRDefault="00F140E9" w:rsidP="00F140E9">
      <w:pPr>
        <w:pStyle w:val="11"/>
      </w:pPr>
      <w:r w:rsidRPr="00113A25">
        <w:lastRenderedPageBreak/>
        <w:t>– високі бар’єри входу. Якщо для виходу на ринок необхідні великі капіталовкладення або технологічні знання, це перешкоджає появі нових конкурентів, сприяючи виникненню монополій;</w:t>
      </w:r>
    </w:p>
    <w:p w:rsidR="00F140E9" w:rsidRPr="00113A25" w:rsidRDefault="00F140E9" w:rsidP="00F140E9">
      <w:pPr>
        <w:pStyle w:val="11"/>
      </w:pPr>
      <w:r w:rsidRPr="00113A25">
        <w:t>– унікальні ресурси чи технології. Суб'єкти, які контролюють унікальні природні ресурси або технології, можуть створювати монополію на ринку, що дозволяє їм отримувати монопольну ренту.</w:t>
      </w:r>
    </w:p>
    <w:p w:rsidR="002F2A47" w:rsidRPr="00113A25" w:rsidRDefault="00B12A69" w:rsidP="00B12A69">
      <w:pPr>
        <w:pStyle w:val="11"/>
      </w:pPr>
      <w:r w:rsidRPr="00113A25">
        <w:t xml:space="preserve">Диференціальна земельна рента суттєво відрізняється від абсолютної та монопольної ренти і має прямий зв'язок з процесами виробництва в сільському господарстві, тому їй слід приділяти особливу увагу. Вона характеризується різницями в природних умовах, що призводить до того, що при однакових витратах на землях різної якості та розташування утворюється різний обсяг продукції, а отже, і неоднаковий додатковий дохід, який становить матеріальну основу ренти. </w:t>
      </w:r>
    </w:p>
    <w:p w:rsidR="002F2A47" w:rsidRPr="00113A25" w:rsidRDefault="00B12A69" w:rsidP="00B12A69">
      <w:pPr>
        <w:pStyle w:val="11"/>
      </w:pPr>
      <w:r w:rsidRPr="00113A25">
        <w:t xml:space="preserve">Диференціальна рента виникає не лише через різницю в родючості земель, а й завдяки різницям у їх розташуванні стосовно ринків збуту продукції, транспортних шляхів тощо. Ціни на сільськогосподарську продукцію залежать від її якості, яка, у свою чергу, визначається швидкістю доставки. </w:t>
      </w:r>
    </w:p>
    <w:p w:rsidR="002F2A47" w:rsidRPr="00113A25" w:rsidRDefault="00B12A69" w:rsidP="00B12A69">
      <w:pPr>
        <w:pStyle w:val="11"/>
      </w:pPr>
      <w:r w:rsidRPr="00113A25">
        <w:t xml:space="preserve">Таким чином, місце розташування земельної ділянки є важливим чинником утворення диференціальної ренти. У загальному контексті можна зазначити, що на формування диференціальної земельної ренти та диференціального доходу впливають економічні, організаційно-господарські та природно-історичні фактори. </w:t>
      </w:r>
    </w:p>
    <w:p w:rsidR="00B12A69" w:rsidRPr="00113A25" w:rsidRDefault="00B12A69" w:rsidP="00B12A69">
      <w:pPr>
        <w:pStyle w:val="11"/>
      </w:pPr>
      <w:r w:rsidRPr="00113A25">
        <w:t>Природно-історичні фактори можна поділити на об'єктивні (родючість земельних ділянок, їх місцерозташування) і суб'єктивні, які значною мірою залежать від інтенсивності ведення виробничої діяльності суб'єктами господарювання та продуктивності праці. З огляду на спосіб утворення диференціальну земельну ренту можна класифікувати на два види: диференціальну ренту І та диференціальну ренту II.</w:t>
      </w:r>
    </w:p>
    <w:p w:rsidR="002F2A47" w:rsidRPr="00113A25" w:rsidRDefault="00DC5D61" w:rsidP="00DC5D61">
      <w:pPr>
        <w:pStyle w:val="11"/>
      </w:pPr>
      <w:r w:rsidRPr="00113A25">
        <w:lastRenderedPageBreak/>
        <w:t>Рента І утворюється в основному під дією об'єктивних факторів при однакових затратах живої та уречевленої праці, тобто при одному й тому ж рівні інтенсивності ведення господарства. Диференціальна рента II утворюється в основному в результаті дії суб'єктивних факторів на одних і тих самих земельних ділянках, а саме: за інтенсифікації сільськогосподарського виробництва в результаті додаткових вкладень засоб</w:t>
      </w:r>
      <w:r w:rsidR="002F2A47" w:rsidRPr="00113A25">
        <w:t>ів виробництва і праці на рівно</w:t>
      </w:r>
      <w:r w:rsidRPr="00113A25">
        <w:t>цінних за якістю землях.</w:t>
      </w:r>
    </w:p>
    <w:p w:rsidR="003B3F38" w:rsidRPr="00113A25" w:rsidRDefault="00DC5D61" w:rsidP="00DC5D61">
      <w:pPr>
        <w:pStyle w:val="11"/>
      </w:pPr>
      <w:r w:rsidRPr="00113A25">
        <w:t xml:space="preserve">Оскільки процес інтенсифікації має безперервний характер на землях різної якості, то в практичних умовах досягнути достовірного розмежування між рентою І </w:t>
      </w:r>
      <w:proofErr w:type="spellStart"/>
      <w:r w:rsidRPr="00113A25">
        <w:t>і</w:t>
      </w:r>
      <w:proofErr w:type="spellEnd"/>
      <w:r w:rsidRPr="00113A25">
        <w:t xml:space="preserve"> рентою II досить складно, хоча при проведенні земельно-оціночних робіт в 70</w:t>
      </w:r>
      <w:r w:rsidR="002F2A47" w:rsidRPr="00113A25">
        <w:t>-</w:t>
      </w:r>
      <w:r w:rsidRPr="00113A25">
        <w:t>х роках минулого століття така спроба була. Між факторами, що впливають на утворення обох видів ренти, існує тісний взаємозв'язок.</w:t>
      </w:r>
    </w:p>
    <w:p w:rsidR="00DC5D61" w:rsidRPr="00113A25" w:rsidRDefault="00DC5D61" w:rsidP="00DC5D61">
      <w:pPr>
        <w:pStyle w:val="11"/>
      </w:pPr>
      <w:r w:rsidRPr="00113A25">
        <w:t>Таким чином, різниця між диференціальною рентою I та диференціальною рентою II полягає в причинах їх утворення та особливостях землеволодіння</w:t>
      </w:r>
      <w:r w:rsidR="000B2006" w:rsidRPr="00113A25">
        <w:t>[</w:t>
      </w:r>
      <w:r w:rsidR="004D2CA6" w:rsidRPr="00113A25">
        <w:rPr>
          <w:rStyle w:val="ad"/>
        </w:rPr>
        <w:endnoteReference w:id="15"/>
      </w:r>
      <w:r w:rsidR="004D2CA6" w:rsidRPr="00113A25">
        <w:t>;</w:t>
      </w:r>
      <w:r w:rsidR="004D2CA6" w:rsidRPr="00113A25">
        <w:rPr>
          <w:rStyle w:val="ad"/>
        </w:rPr>
        <w:endnoteReference w:id="16"/>
      </w:r>
      <w:r w:rsidR="004D2CA6" w:rsidRPr="00113A25">
        <w:t>]</w:t>
      </w:r>
      <w:r w:rsidRPr="00113A25">
        <w:t>:</w:t>
      </w:r>
    </w:p>
    <w:p w:rsidR="00DC5D61" w:rsidRPr="00113A25" w:rsidRDefault="00DC5D61" w:rsidP="00DC5D61">
      <w:pPr>
        <w:pStyle w:val="11"/>
      </w:pPr>
      <w:r w:rsidRPr="00113A25">
        <w:t>1.</w:t>
      </w:r>
      <w:r w:rsidRPr="00113A25">
        <w:tab/>
        <w:t>Диференціальна рента I виникає через природні відмінності в якості землі, зокрема, в її родючості. Землі, що мають кращу природну родючість, здатні забезпечити більший урожай при однакових витратах. Тому власники таких земель отримують додатковий дохід у вигляді ренти. Цей вид ренти є прямим результатом природних умов землі і не залежить від її місцезнаходження або використання на певних умовах.</w:t>
      </w:r>
    </w:p>
    <w:p w:rsidR="00DC5D61" w:rsidRPr="00113A25" w:rsidRDefault="00DC5D61" w:rsidP="00DC5D61">
      <w:pPr>
        <w:pStyle w:val="11"/>
      </w:pPr>
      <w:r w:rsidRPr="00113A25">
        <w:t>2.</w:t>
      </w:r>
      <w:r w:rsidRPr="00113A25">
        <w:tab/>
        <w:t>Диференціальна рента II виникає завдяки відмінностям у розташуванні земель відносно ринків збуту, транспортних шляхів чи інших економічних факторів, таких як доступність ресурсів. Вона виникає на землях однакової родючості, але розташованих у різних місцях, що мають різний економічний потенціал. Наприклад, земля, яка розташована ближче до ринків збуту або має кращу транспортну доступність, дозволяє отримати більший додатковий дохід за рахунок зниження витрат на транспортування та швидшу доставку товару.</w:t>
      </w:r>
    </w:p>
    <w:p w:rsidR="00DC5D61" w:rsidRPr="00113A25" w:rsidRDefault="00DC5D61" w:rsidP="00DC5D61">
      <w:pPr>
        <w:pStyle w:val="11"/>
      </w:pPr>
      <w:r w:rsidRPr="00113A25">
        <w:lastRenderedPageBreak/>
        <w:t>Таким чином, диференціальна рента I обумовлена природними характеристиками землі, а диференціальна рента II – її економічним розташуванням і умовами використання.</w:t>
      </w:r>
    </w:p>
    <w:p w:rsidR="004B649E" w:rsidRPr="00113A25" w:rsidRDefault="000C60E3" w:rsidP="009C721C">
      <w:pPr>
        <w:pStyle w:val="11"/>
      </w:pPr>
      <w:r w:rsidRPr="00113A25">
        <w:t>Рента, що утворюється в процесі видобутку корисних копалин, є специфічною формою гірничої ренти [</w:t>
      </w:r>
      <w:r w:rsidR="004B649E" w:rsidRPr="00113A25">
        <w:rPr>
          <w:rStyle w:val="ad"/>
        </w:rPr>
        <w:endnoteReference w:id="17"/>
      </w:r>
      <w:r w:rsidR="004B649E" w:rsidRPr="00113A25">
        <w:t xml:space="preserve">]. Вона не обмежується лише вузькогалузевим контекстом гірничого виробництва, оскільки має зв'язок з іншими видами ренти та загальними макроекономічними процесами. Гірнича рента виникає природно і проявляється в загальноекономічному контексті. </w:t>
      </w:r>
    </w:p>
    <w:p w:rsidR="004B649E" w:rsidRPr="00113A25" w:rsidRDefault="004B649E" w:rsidP="009C721C">
      <w:pPr>
        <w:pStyle w:val="11"/>
      </w:pPr>
      <w:r w:rsidRPr="00113A25">
        <w:t>Згідно з класичним підходом, рента в гірничій промисловості ділиться на абсолютну та диференційну. Однак деякі вчені пропонують додавати до традиційних категорій гірничої ренти й інші її види. Так, В. Міщенко [</w:t>
      </w:r>
      <w:r w:rsidRPr="00113A25">
        <w:rPr>
          <w:rStyle w:val="ad"/>
        </w:rPr>
        <w:endnoteReference w:id="18"/>
      </w:r>
      <w:r w:rsidRPr="00113A25">
        <w:t>, с. 28–29] виокремлює монопольну ренту, яка отримується з ділянок, де видобуваються рідкісні корисні копалини, реалізовані за монопольними цінами, визначеними платіжною здатністю споживачів. Автор [</w:t>
      </w:r>
      <w:r w:rsidRPr="00113A25">
        <w:rPr>
          <w:rStyle w:val="ad"/>
        </w:rPr>
        <w:endnoteReference w:id="19"/>
      </w:r>
      <w:r w:rsidRPr="00113A25">
        <w:t xml:space="preserve">, с. 77] виділяє екологічну ренту, що пов’язана з використанням природних ресурсів згідно з принципами сталого розвитку. </w:t>
      </w:r>
    </w:p>
    <w:p w:rsidR="004B649E" w:rsidRPr="00113A25" w:rsidRDefault="004B649E" w:rsidP="009C721C">
      <w:pPr>
        <w:pStyle w:val="11"/>
      </w:pPr>
      <w:r w:rsidRPr="00113A25">
        <w:t xml:space="preserve">А.І. </w:t>
      </w:r>
      <w:proofErr w:type="spellStart"/>
      <w:r w:rsidRPr="00113A25">
        <w:t>Амоша</w:t>
      </w:r>
      <w:proofErr w:type="spellEnd"/>
      <w:r w:rsidRPr="00113A25">
        <w:t xml:space="preserve"> та Л.Л. </w:t>
      </w:r>
      <w:proofErr w:type="spellStart"/>
      <w:r w:rsidRPr="00113A25">
        <w:t>Стариченко</w:t>
      </w:r>
      <w:proofErr w:type="spellEnd"/>
      <w:r w:rsidRPr="00113A25">
        <w:t xml:space="preserve">  визначають цінову ренту, що є основою для формування механізму рентного оподаткування та вказують на гірничо-виробничу ренту, яка виникає безпосередньо в результаті видобутку корисних копалин [</w:t>
      </w:r>
      <w:r w:rsidRPr="00113A25">
        <w:rPr>
          <w:rStyle w:val="ad"/>
        </w:rPr>
        <w:endnoteReference w:id="20"/>
      </w:r>
      <w:r w:rsidRPr="00113A25">
        <w:t>].</w:t>
      </w:r>
    </w:p>
    <w:p w:rsidR="008B699B" w:rsidRPr="00113A25" w:rsidRDefault="004B649E" w:rsidP="009C721C">
      <w:pPr>
        <w:pStyle w:val="11"/>
      </w:pPr>
      <w:r w:rsidRPr="00113A25">
        <w:t>Низка дослідників [</w:t>
      </w:r>
      <w:r w:rsidRPr="00113A25">
        <w:rPr>
          <w:rStyle w:val="ad"/>
        </w:rPr>
        <w:endnoteReference w:id="21"/>
      </w:r>
      <w:r w:rsidRPr="00113A25">
        <w:t>], підтримуючи погляди західних економістів [</w:t>
      </w:r>
      <w:r w:rsidRPr="00113A25">
        <w:rPr>
          <w:rStyle w:val="ad"/>
        </w:rPr>
        <w:endnoteReference w:id="22"/>
      </w:r>
      <w:r w:rsidRPr="00113A25">
        <w:t xml:space="preserve">], вважають, що абсолютної гірничої ренти не існує. Однак таке твердження є спірним, оскільки надра є вичерпними, що підтверджує існування абсолютної гірничої ренти. </w:t>
      </w:r>
    </w:p>
    <w:p w:rsidR="000C60E3" w:rsidRPr="00113A25" w:rsidRDefault="008B699B" w:rsidP="009C721C">
      <w:pPr>
        <w:pStyle w:val="11"/>
      </w:pPr>
      <w:r w:rsidRPr="00113A25">
        <w:t xml:space="preserve">Автор </w:t>
      </w:r>
      <w:r w:rsidR="004B649E" w:rsidRPr="00113A25">
        <w:t xml:space="preserve">Н.В. </w:t>
      </w:r>
      <w:proofErr w:type="spellStart"/>
      <w:r w:rsidR="004B649E" w:rsidRPr="00113A25">
        <w:t>Жикаляк</w:t>
      </w:r>
      <w:proofErr w:type="spellEnd"/>
      <w:r w:rsidR="004B649E" w:rsidRPr="00113A25">
        <w:t xml:space="preserve"> [</w:t>
      </w:r>
      <w:r w:rsidR="004B649E" w:rsidRPr="00113A25">
        <w:rPr>
          <w:rStyle w:val="ad"/>
        </w:rPr>
        <w:endnoteReference w:id="23"/>
      </w:r>
      <w:r w:rsidR="004B649E" w:rsidRPr="00113A25">
        <w:t>,</w:t>
      </w:r>
      <w:r w:rsidR="000C60E3" w:rsidRPr="00113A25">
        <w:t xml:space="preserve"> с. 182–184] пропонує поділ гірничої ренти на дві категорії: гірничу ренту, що не залежить від поведінки суб’єкта господарювання, та підприємницьку ренту, яка залежить від дій суб’єкта господарювання в сфері гірничої промисловості. Гірнича рента, згідно з автором, є частиною економічного прибутку, що виникає від передачі прав на володіння земельними ділянками та надрами для видобутку корисних копалин </w:t>
      </w:r>
      <w:r w:rsidR="000C60E3" w:rsidRPr="00113A25">
        <w:lastRenderedPageBreak/>
        <w:t>або реалізації продукції гірничої промисловості. Підприємницька рента, в свою чергу, є частиною прибутку, що отримується від продажу прав на мінеральні ресурси або продукцію гірничої промисловості, і зумовлена рішеннями та діями суб’єктів господарювання під час здійснення інвестицій у поточну діяльність.</w:t>
      </w:r>
    </w:p>
    <w:p w:rsidR="001E2A9E" w:rsidRPr="00113A25" w:rsidRDefault="00E01EF5" w:rsidP="009C721C">
      <w:pPr>
        <w:pStyle w:val="11"/>
      </w:pPr>
      <w:r w:rsidRPr="00113A25">
        <w:t>Водну ренту</w:t>
      </w:r>
      <w:r w:rsidR="004B649E" w:rsidRPr="00113A25">
        <w:t xml:space="preserve"> </w:t>
      </w:r>
      <w:r w:rsidRPr="00113A25">
        <w:t xml:space="preserve"> можна визначити як певний вид надприбутку, що виникає внаслідок природних властивостей води, яку суб’єкт господарювання отримує завдяки використанню обмежених і різноманітних водних ресурсів. Виділяються три основні форми водної ренти: абсолютна, диференційна та монопольна.</w:t>
      </w:r>
      <w:r w:rsidR="004B649E" w:rsidRPr="00113A25">
        <w:t xml:space="preserve"> </w:t>
      </w:r>
    </w:p>
    <w:p w:rsidR="004B649E" w:rsidRPr="00113A25" w:rsidRDefault="00E01EF5" w:rsidP="009C721C">
      <w:pPr>
        <w:pStyle w:val="11"/>
      </w:pPr>
      <w:r w:rsidRPr="00113A25">
        <w:t>Лісову ренту, відповідно до О.В. Врублевської [</w:t>
      </w:r>
      <w:r w:rsidR="004B649E" w:rsidRPr="00113A25">
        <w:rPr>
          <w:rStyle w:val="ad"/>
        </w:rPr>
        <w:endnoteReference w:id="24"/>
      </w:r>
      <w:r w:rsidR="004B649E" w:rsidRPr="00113A25">
        <w:t>, с. 13], слід розуміти як частину доданої вартості, що виникає в процесі природокористування, і на яку претендує власник лісу. Властивості лісу, які залучаються разом з іншими факторами виробництва, формують цю ренту. Лісова рента може існувати в двох формах: диференційної ренти І роду, що залежить від якості та місцерозташування лісових ресурсів, та диференційної ренти ІІ роду, яка відображає ефективність додаткових витрат на відтворення, охорону та експлуатацію лісових ресурсів.</w:t>
      </w:r>
    </w:p>
    <w:p w:rsidR="004B649E" w:rsidRPr="00113A25" w:rsidRDefault="004B649E" w:rsidP="009C721C">
      <w:pPr>
        <w:pStyle w:val="11"/>
      </w:pPr>
      <w:r w:rsidRPr="00113A25">
        <w:t xml:space="preserve">Фінансову ренту або ануїтет, за визначенням А.А. </w:t>
      </w:r>
      <w:proofErr w:type="spellStart"/>
      <w:r w:rsidRPr="00113A25">
        <w:t>Шустікова</w:t>
      </w:r>
      <w:proofErr w:type="spellEnd"/>
      <w:r w:rsidRPr="00113A25">
        <w:t xml:space="preserve"> [</w:t>
      </w:r>
      <w:r w:rsidRPr="00113A25">
        <w:rPr>
          <w:rStyle w:val="ad"/>
        </w:rPr>
        <w:endnoteReference w:id="25"/>
      </w:r>
      <w:r w:rsidRPr="00113A25">
        <w:t xml:space="preserve">, с. 120], являє собою потік платежів, де всі члени є позитивними величинами, а часові інтервали між </w:t>
      </w:r>
      <w:proofErr w:type="spellStart"/>
      <w:r w:rsidRPr="00113A25">
        <w:t>платежами</w:t>
      </w:r>
      <w:proofErr w:type="spellEnd"/>
      <w:r w:rsidRPr="00113A25">
        <w:t xml:space="preserve"> є постійними незалежно від походження, призначення чи мети цих платежів. Постійною фінансовою рентою вважається потік фіксованих платежів, що здійснюються через рівні проміжки часу.</w:t>
      </w:r>
    </w:p>
    <w:p w:rsidR="00E01EF5" w:rsidRPr="00113A25" w:rsidRDefault="004B649E" w:rsidP="009C721C">
      <w:pPr>
        <w:pStyle w:val="11"/>
      </w:pPr>
      <w:r w:rsidRPr="00113A25">
        <w:t>З точки зору джерела формування ренти, можна виділити внутрішню та зовнішню ренту [</w:t>
      </w:r>
      <w:r w:rsidRPr="00113A25">
        <w:rPr>
          <w:rStyle w:val="ad"/>
        </w:rPr>
        <w:endnoteReference w:id="26"/>
      </w:r>
      <w:r w:rsidRPr="00113A25">
        <w:t>,</w:t>
      </w:r>
      <w:r w:rsidR="00E01EF5" w:rsidRPr="00113A25">
        <w:t xml:space="preserve"> с. 230]. Внутрішня рента базується на надлишку і незбалансованості влади в межах самого підприємства та залежить від поведінки агентів підприємства стосовно його активів. Натомість зовнішня рента є доходами, що отримуються підприємством від своїх споживачів і значно перевищують результати його діяльності для суспільства в цілому.</w:t>
      </w:r>
    </w:p>
    <w:p w:rsidR="004E34CB" w:rsidRPr="00113A25" w:rsidRDefault="000B2006" w:rsidP="000B2006">
      <w:pPr>
        <w:spacing w:after="0" w:line="360" w:lineRule="auto"/>
        <w:ind w:firstLine="709"/>
        <w:jc w:val="both"/>
        <w:rPr>
          <w:rFonts w:ascii="Times New Roman" w:hAnsi="Times New Roman" w:cs="Times New Roman"/>
          <w:sz w:val="28"/>
          <w:szCs w:val="28"/>
        </w:rPr>
      </w:pPr>
      <w:r w:rsidRPr="00113A25">
        <w:rPr>
          <w:rFonts w:ascii="Times New Roman" w:hAnsi="Times New Roman" w:cs="Times New Roman"/>
          <w:sz w:val="28"/>
          <w:szCs w:val="28"/>
        </w:rPr>
        <w:lastRenderedPageBreak/>
        <w:t xml:space="preserve">Отже, абсолютна земельна рента з’являється через монополію на землю, коли держава чи приватні власники контролюють доступ до земельних ресурсів і можуть встановлювати орендну плату незалежно від природних характеристик землі. Вона є результатом монопольного контролю і не залежить від рівня родючості чи інших економічних умов. Монопольна рента виникає на обмежених земельних ділянках, де природні умови дозволяють виробляти унікальну продукцію, яка не може бути заміщена іншими землями. Це призводить до високих цін на таку продукцію і утворення ренти, яку отримує власник таких земель. Монопольна рента базується на обмеженості ресурсів і попиті на специфічну продукцію. Диференціальна рента, зокрема рента І </w:t>
      </w:r>
      <w:proofErr w:type="spellStart"/>
      <w:r w:rsidRPr="00113A25">
        <w:rPr>
          <w:rFonts w:ascii="Times New Roman" w:hAnsi="Times New Roman" w:cs="Times New Roman"/>
          <w:sz w:val="28"/>
          <w:szCs w:val="28"/>
        </w:rPr>
        <w:t>і</w:t>
      </w:r>
      <w:proofErr w:type="spellEnd"/>
      <w:r w:rsidRPr="00113A25">
        <w:rPr>
          <w:rFonts w:ascii="Times New Roman" w:hAnsi="Times New Roman" w:cs="Times New Roman"/>
          <w:sz w:val="28"/>
          <w:szCs w:val="28"/>
        </w:rPr>
        <w:t xml:space="preserve"> II, пов’язана з відмінностями в природних умовах землі та її розташуванні. Рента I виникає через природну родючість землі, коли на родючих землях отримують вищий урожай при однакових витратах, тоді як рента II утворюється завдяки економічним факторам, таким як місцезнаходження землі відносно ринків збуту чи транспортних шляхів. Обидва види диференціальної ренти є результатом різних факторів, які впливають на ефективність використання землі.</w:t>
      </w:r>
    </w:p>
    <w:p w:rsidR="000B2006" w:rsidRPr="00113A25" w:rsidRDefault="000B2006" w:rsidP="000B2006">
      <w:pPr>
        <w:spacing w:after="0" w:line="360" w:lineRule="auto"/>
        <w:ind w:firstLine="709"/>
        <w:jc w:val="both"/>
        <w:rPr>
          <w:rFonts w:ascii="Times New Roman" w:hAnsi="Times New Roman" w:cs="Times New Roman"/>
          <w:sz w:val="28"/>
          <w:szCs w:val="28"/>
        </w:rPr>
      </w:pPr>
    </w:p>
    <w:p w:rsidR="004E34CB" w:rsidRPr="00113A25" w:rsidRDefault="004E34CB" w:rsidP="00820585">
      <w:pPr>
        <w:spacing w:after="0" w:line="360" w:lineRule="auto"/>
        <w:ind w:firstLine="709"/>
        <w:jc w:val="both"/>
        <w:rPr>
          <w:rFonts w:ascii="Times New Roman" w:hAnsi="Times New Roman" w:cs="Times New Roman"/>
          <w:sz w:val="28"/>
          <w:szCs w:val="28"/>
        </w:rPr>
      </w:pPr>
    </w:p>
    <w:p w:rsidR="004E34CB" w:rsidRPr="00113A25" w:rsidRDefault="004E34CB" w:rsidP="00820585">
      <w:pPr>
        <w:pStyle w:val="1"/>
        <w:spacing w:before="0" w:line="360" w:lineRule="auto"/>
        <w:ind w:firstLine="709"/>
        <w:jc w:val="both"/>
        <w:rPr>
          <w:rFonts w:ascii="Times New Roman" w:hAnsi="Times New Roman" w:cs="Times New Roman"/>
          <w:b/>
          <w:color w:val="auto"/>
          <w:sz w:val="28"/>
          <w:szCs w:val="28"/>
        </w:rPr>
      </w:pPr>
      <w:bookmarkStart w:id="21" w:name="_Toc187523562"/>
      <w:r w:rsidRPr="00113A25">
        <w:rPr>
          <w:rFonts w:ascii="Times New Roman" w:hAnsi="Times New Roman" w:cs="Times New Roman"/>
          <w:b/>
          <w:color w:val="auto"/>
          <w:sz w:val="28"/>
          <w:szCs w:val="28"/>
        </w:rPr>
        <w:t>1.3. Механізми формування ренти та її вплив на добробут громадян</w:t>
      </w:r>
      <w:bookmarkEnd w:id="21"/>
    </w:p>
    <w:p w:rsidR="004E34CB" w:rsidRPr="00113A25" w:rsidRDefault="004E34CB" w:rsidP="006B773B">
      <w:pPr>
        <w:spacing w:after="0" w:line="360" w:lineRule="auto"/>
        <w:ind w:firstLine="709"/>
        <w:jc w:val="both"/>
        <w:rPr>
          <w:rFonts w:ascii="Times New Roman" w:hAnsi="Times New Roman" w:cs="Times New Roman"/>
          <w:sz w:val="28"/>
          <w:szCs w:val="28"/>
        </w:rPr>
      </w:pPr>
    </w:p>
    <w:p w:rsidR="00F22A82" w:rsidRPr="00113A25" w:rsidRDefault="00536BBA" w:rsidP="00536BBA">
      <w:pPr>
        <w:pStyle w:val="11"/>
      </w:pPr>
      <w:r w:rsidRPr="00113A25">
        <w:t xml:space="preserve">Економічна оцінка земель є важливою складовою частиною державного земельного кадастру, що дозволяє здійснити кількісну характеристику наявної ґрунтової родючості через економічні показники. Вона полягає в оцінці економічного ефекту від використання земель різної якості, враховуючи продуктивність праці сільськогосподарських працівників у контексті досягнутого рівня інтенсивності землеробства. </w:t>
      </w:r>
    </w:p>
    <w:p w:rsidR="00536BBA" w:rsidRPr="00113A25" w:rsidRDefault="00536BBA" w:rsidP="00536BBA">
      <w:pPr>
        <w:pStyle w:val="11"/>
      </w:pPr>
      <w:r w:rsidRPr="00113A25">
        <w:t xml:space="preserve">Економічна оцінка земель є більш широким поняттям порівняно з бонітуванням ґрунтів і має за мету визначити порівняльну цінність економічної родючості ґрунтів, яка проявляється в їх реальній родючості та </w:t>
      </w:r>
      <w:r w:rsidRPr="00113A25">
        <w:lastRenderedPageBreak/>
        <w:t>місцеположенні. Окрім цього, економічна оцінка включає визначення порівняльної цінності потенційної родючості земель, яка виражається у вигляді перспективної оцінки.</w:t>
      </w:r>
    </w:p>
    <w:p w:rsidR="000E1DDB" w:rsidRPr="00113A25" w:rsidRDefault="000E1DDB" w:rsidP="000E1DDB">
      <w:pPr>
        <w:pStyle w:val="11"/>
      </w:pPr>
      <w:r w:rsidRPr="00113A25">
        <w:t>Основні механізми формування земельної ренти можна умовно поділити на такі</w:t>
      </w:r>
      <w:r w:rsidR="000B2006" w:rsidRPr="00113A25">
        <w:t>[</w:t>
      </w:r>
      <w:r w:rsidR="000B2006" w:rsidRPr="00113A25">
        <w:rPr>
          <w:rStyle w:val="ad"/>
        </w:rPr>
        <w:endnoteReference w:id="27"/>
      </w:r>
      <w:r w:rsidR="000B2006" w:rsidRPr="00113A25">
        <w:t>]</w:t>
      </w:r>
      <w:r w:rsidRPr="00113A25">
        <w:t>:</w:t>
      </w:r>
    </w:p>
    <w:p w:rsidR="000E1DDB" w:rsidRPr="00113A25" w:rsidRDefault="000E1DDB" w:rsidP="000E1DDB">
      <w:pPr>
        <w:pStyle w:val="11"/>
      </w:pPr>
      <w:r w:rsidRPr="00113A25">
        <w:t>1. Орендної ренти. Це один із найбільш поширених механізмів, при якому землевласник надає свою землю в оренду і отримує орендну плату. Орендна рента формується на основі ринкових умов і попиту на землю. Вона залежить від рівня рентного доходу, який може бути отриманий від використання земельної ділянки для сільськогосподарського виробництва, будівництва або інших цілей. Важливим фактором є вартість оренди, яка визначається співвідношенням попиту та пропозиції на ринку землі.</w:t>
      </w:r>
    </w:p>
    <w:p w:rsidR="000E1DDB" w:rsidRPr="00113A25" w:rsidRDefault="000E1DDB" w:rsidP="000E1DDB">
      <w:pPr>
        <w:pStyle w:val="11"/>
      </w:pPr>
      <w:r w:rsidRPr="00113A25">
        <w:t>2. Диференційної ренти. Цей механізм виникає через різницю в родючості земель і вигоди від їхнього використання. Землі, які мають вищу родючість або зручне розташування, можуть приносити більший дохід, що призводить до утворення диференційної ренти. Цей вид ренти відображає додатковий дохід, який отримує власник земельної ділянки через її переваги над іншими ділянками.</w:t>
      </w:r>
    </w:p>
    <w:p w:rsidR="000E1DDB" w:rsidRPr="00113A25" w:rsidRDefault="000E1DDB" w:rsidP="000E1DDB">
      <w:pPr>
        <w:pStyle w:val="11"/>
      </w:pPr>
      <w:r w:rsidRPr="00113A25">
        <w:t>3. Монопольної ренти. Якщо землевласник має землю, що знаходиться в стратегічно важливому або обмеженому для доступу місці (наприклад, в центрі міста або в зоні природного ресурсу), він може отримувати додатковий дохід через монопольну ренту. Вона виникає через обмежену кількість доступних земельних ділянок у певному регіоні, що дозволяє власнику землі встановлювати високі ціни на оренду або продаж.</w:t>
      </w:r>
    </w:p>
    <w:p w:rsidR="000E1DDB" w:rsidRPr="00113A25" w:rsidRDefault="000E1DDB" w:rsidP="000E1DDB">
      <w:pPr>
        <w:pStyle w:val="11"/>
      </w:pPr>
      <w:r w:rsidRPr="00113A25">
        <w:t xml:space="preserve">4. Компенсаційної ренти. У певних випадках, коли земельні ділянки використовуються для сільськогосподарських або екологічних потреб (наприклад, землі для лісового господарства, екологічних заповідників), власники можуть отримувати компенсацію від держави або приватних організацій, які зацікавлені в охороні та збереженні природних ресурсів. Це </w:t>
      </w:r>
      <w:r w:rsidRPr="00113A25">
        <w:lastRenderedPageBreak/>
        <w:t>компенсаційна рента, яка компенсує втрати або обмеження у використанні землі.</w:t>
      </w:r>
    </w:p>
    <w:p w:rsidR="00BF1CF1" w:rsidRPr="00113A25" w:rsidRDefault="00BF1CF1" w:rsidP="00536BBA">
      <w:pPr>
        <w:pStyle w:val="11"/>
      </w:pPr>
      <w:r w:rsidRPr="00113A25">
        <w:t>Один з основних механізмів формування земельної ренти полягає в оренді земельних ділянок. Орендна рента виникає внаслідок передачі права на користування землею, що забезпечує власнику певний дохід у вигляді орендної плати. Величина орендної ренти залежить від таких факторів, як вартість землі, її родючість, місцерозташування, а також попит і пропозиція на ринку оренди земель. Орендні ставки можуть варіюватися залежно від конкретного регіону, характеру господарської діяльності та фінансових можливостей орендаря. Водночас важливим фактором у формуванні цього виду ренти є правове регулювання орендних відносин, що визначає умови та механізми розрахунку орендної плати, права та обов'язки сторін.</w:t>
      </w:r>
    </w:p>
    <w:p w:rsidR="00BF1CF1" w:rsidRPr="00113A25" w:rsidRDefault="009D5849" w:rsidP="00536BBA">
      <w:pPr>
        <w:pStyle w:val="11"/>
      </w:pPr>
      <w:r w:rsidRPr="00113A25">
        <w:t>Диференційна рента є наслідком різної продуктивності землі, що обумовлена природними факторами (родючість ґрунтів, кліматичні умови) або суспільно-економічними умовами (інфраструктура, доступ до ринків збуту). У такому контексті земельні ділянки з вищими природними властивостями (родючі землі, зручне розташування) генерують більший дохід, що і призводить до формування диференційної ренти. Цей механізм відображає надприбуток, отримуваний від використання земель, які мають конкурентні переваги на ринку. Він є важливим елементом земельного ринку, оскільки впливає на вартість земельних ділянок і визначає рівень доходів їхніх власників. У зв’язку з цим диференційна рента має суттєвий вплив на формування цін на землю та визначення рівня земельного доходу в межах певного регіону чи сектора економіки.</w:t>
      </w:r>
    </w:p>
    <w:p w:rsidR="001E2A9E" w:rsidRPr="00113A25" w:rsidRDefault="009D5849" w:rsidP="00536BBA">
      <w:pPr>
        <w:pStyle w:val="11"/>
      </w:pPr>
      <w:r w:rsidRPr="00113A25">
        <w:t xml:space="preserve">Механізм монопольної ренти виникає в ситуаціях, коли земля займає стратегічно важливе або обмежене за доступом місце, що забезпечує її власнику можливість отримувати додаткові доходи. Це може стосуватися земельних ділянок, розташованих у центральних частинах міст, у зонах природних ресурсів, а також земель, що мають обмежену пропозицію внаслідок природних або адміністративних бар'єрів. </w:t>
      </w:r>
    </w:p>
    <w:p w:rsidR="009D5849" w:rsidRPr="00113A25" w:rsidRDefault="009D5849" w:rsidP="00536BBA">
      <w:pPr>
        <w:pStyle w:val="11"/>
      </w:pPr>
      <w:r w:rsidRPr="00113A25">
        <w:lastRenderedPageBreak/>
        <w:t>У таких випадках власники землі мають можливість встановлювати орендні ставки або ціни на продаж землі, які значно перевищують загальноприйнятий рівень, що дає їм надприбутки. Це є основою формування монопольної ренти, яка виникає через обмежену конкуренцію на ринку землі в певних регіонах чи зонах.</w:t>
      </w:r>
    </w:p>
    <w:p w:rsidR="009D5849" w:rsidRPr="00113A25" w:rsidRDefault="009D5849" w:rsidP="00536BBA">
      <w:pPr>
        <w:pStyle w:val="11"/>
      </w:pPr>
      <w:r w:rsidRPr="00113A25">
        <w:t>Земельна компенсаційна рента формується в разі, коли землевласники отримують компенсацію за відмову від використання землі для певних видів діяльності, наприклад, для охорони навколишнього середовища чи збереження природних ресурсів. Власники земельних ділянок можуть отримувати компенсації від держави або приватних організацій, що зацікавлені у збереженні екологічної рівноваги або здійсненні інших соціально важливих проектів. Такі компенсації виступають як механізм формування земельної ренти в умовах, коли земельна ділянка не може приносити доходи від звичайного використання, але її охорона чи спеціальне використання має стратегічне значення для розвитку регіону чи країни в цілому.</w:t>
      </w:r>
    </w:p>
    <w:p w:rsidR="00F22A82" w:rsidRPr="00113A25" w:rsidRDefault="00536BBA" w:rsidP="00536BBA">
      <w:pPr>
        <w:pStyle w:val="11"/>
      </w:pPr>
      <w:r w:rsidRPr="00113A25">
        <w:t>На розмір земельної ренти і диференціального доходу впливають різні чинники, зокрема економічні, організаційно-господарські та природно-історичні. Економічні чинники мають значний вплив на загальну оцінку земель, оскільки характеризуються варіативністю виробничих затрат, що залежать від відстані сільськогосподарських підприємств до пунктів реалізації продукції та баз постачання матеріально-технічних засобів.</w:t>
      </w:r>
    </w:p>
    <w:p w:rsidR="001E2A9E" w:rsidRPr="00113A25" w:rsidRDefault="00536BBA" w:rsidP="00536BBA">
      <w:pPr>
        <w:pStyle w:val="11"/>
      </w:pPr>
      <w:r w:rsidRPr="00113A25">
        <w:t xml:space="preserve">Зі збільшенням відстані до цих пунктів знижуються земельна рента та диференціальний дохід з двох причин: </w:t>
      </w:r>
    </w:p>
    <w:p w:rsidR="001E2A9E" w:rsidRPr="00113A25" w:rsidRDefault="00536BBA" w:rsidP="001E2A9E">
      <w:pPr>
        <w:pStyle w:val="11"/>
        <w:numPr>
          <w:ilvl w:val="0"/>
          <w:numId w:val="4"/>
        </w:numPr>
      </w:pPr>
      <w:r w:rsidRPr="00113A25">
        <w:t>по-перше, зростають витрати на транспортування продукції і засобів виробництва, що веде до збільшення загальних затрат;</w:t>
      </w:r>
    </w:p>
    <w:p w:rsidR="00536BBA" w:rsidRPr="00113A25" w:rsidRDefault="00536BBA" w:rsidP="001E2A9E">
      <w:pPr>
        <w:pStyle w:val="11"/>
        <w:numPr>
          <w:ilvl w:val="0"/>
          <w:numId w:val="4"/>
        </w:numPr>
      </w:pPr>
      <w:r w:rsidRPr="00113A25">
        <w:t xml:space="preserve">по-друге, у близькості до пунктів реалізації продукції господарства здійснюють більш інтенсивне ведення сільського господарства, вирощуючи високопродуктивні культури, тоді як з </w:t>
      </w:r>
      <w:r w:rsidRPr="00113A25">
        <w:lastRenderedPageBreak/>
        <w:t>віддаленням від цих пунктів господарства змушені обирати менш продуктивні культури.</w:t>
      </w:r>
    </w:p>
    <w:p w:rsidR="00E81B5A" w:rsidRPr="00113A25" w:rsidRDefault="00536BBA" w:rsidP="00536BBA">
      <w:pPr>
        <w:pStyle w:val="11"/>
      </w:pPr>
      <w:r w:rsidRPr="00113A25">
        <w:t xml:space="preserve">До економічних факторів також слід віднести стан транспортної інфраструктури та рівень професійної підготовки кадрів у сільському господарстві, що в більшості випадків є гіршими в віддалених регіонах, що також знижує показники оцінки земель. </w:t>
      </w:r>
    </w:p>
    <w:p w:rsidR="00536BBA" w:rsidRPr="00113A25" w:rsidRDefault="00536BBA" w:rsidP="00536BBA">
      <w:pPr>
        <w:pStyle w:val="11"/>
      </w:pPr>
      <w:r w:rsidRPr="00113A25">
        <w:t>Організаційно-господарські фактори, які впливають на оцінку земель, включають відстань земель від виробничих центрів, структуру земельного устрою та склад земельних угідь. Зі збільшенням відстані між ріллею і садибою знижується дохідність земель через зміни у структурі посівів, збільшення затрат на транспортування, а також зменшення врожайності через меншу доступність добрив і погіршення культури землеробства.</w:t>
      </w:r>
    </w:p>
    <w:p w:rsidR="0051099A" w:rsidRPr="00113A25" w:rsidRDefault="00536BBA" w:rsidP="00E81B5A">
      <w:pPr>
        <w:pStyle w:val="11"/>
      </w:pPr>
      <w:r w:rsidRPr="00113A25">
        <w:t xml:space="preserve">Важливим фактором є також форма земельного устрою, коли недосконало визначені межі земельних ділянок, їх неправильна конфігурація або </w:t>
      </w:r>
      <w:proofErr w:type="spellStart"/>
      <w:r w:rsidRPr="00113A25">
        <w:t>смужкуватість</w:t>
      </w:r>
      <w:proofErr w:type="spellEnd"/>
      <w:r w:rsidRPr="00113A25">
        <w:t xml:space="preserve"> призводять до підвищення виробничих затрат, що, відповідно, знижує оцінку земель. Оцінка земельних угідь також залежить від їх складу та співвідношення: загальна оцінка землеволодіння буде вищою, якщо в складі угідь переважатимуть площі </w:t>
      </w:r>
      <w:r w:rsidR="00E81B5A" w:rsidRPr="00113A25">
        <w:t xml:space="preserve">ріллі та багаторічних насаджень </w:t>
      </w:r>
      <w:r w:rsidR="0051099A" w:rsidRPr="00113A25">
        <w:t>[</w:t>
      </w:r>
      <w:r w:rsidR="0051099A" w:rsidRPr="00113A25">
        <w:rPr>
          <w:rStyle w:val="ad"/>
        </w:rPr>
        <w:endnoteReference w:id="28"/>
      </w:r>
      <w:r w:rsidR="0051099A" w:rsidRPr="00113A25">
        <w:t>].</w:t>
      </w:r>
    </w:p>
    <w:p w:rsidR="0051099A" w:rsidRPr="00113A25" w:rsidRDefault="0051099A" w:rsidP="000E1DDB">
      <w:pPr>
        <w:pStyle w:val="11"/>
      </w:pPr>
      <w:r w:rsidRPr="00113A25">
        <w:t xml:space="preserve">Цінність земель певною мірою також визначається формою земельного устрою території, коли неправильно встановлені межі, незручна конфігурація чи </w:t>
      </w:r>
      <w:proofErr w:type="spellStart"/>
      <w:r w:rsidRPr="00113A25">
        <w:t>смужкуватість</w:t>
      </w:r>
      <w:proofErr w:type="spellEnd"/>
      <w:r w:rsidRPr="00113A25">
        <w:t xml:space="preserve"> земель призводять до зростання виробничих затрат і зниження оцінки земель. Оцінка земельних угідь також залежить від їх складу і співвідношення: загальна оцінка землеволодіння буде вищою, коли в складі угідь переважатимуть площі ріллі та багаторічних насаджень[</w:t>
      </w:r>
      <w:r w:rsidRPr="00113A25">
        <w:rPr>
          <w:rStyle w:val="ad"/>
        </w:rPr>
        <w:endnoteReference w:id="29"/>
      </w:r>
      <w:r w:rsidRPr="00113A25">
        <w:t>].</w:t>
      </w:r>
    </w:p>
    <w:p w:rsidR="001E2A9E" w:rsidRPr="00113A25" w:rsidRDefault="0051099A" w:rsidP="000E1DDB">
      <w:pPr>
        <w:pStyle w:val="11"/>
      </w:pPr>
      <w:r w:rsidRPr="00113A25">
        <w:t xml:space="preserve">Організаційно-економічні чинники здебільшого визначають показники внутрішньогосподарської оцінки земель. Природно-історичні фактори впливають на оцінку земель у залежності від економічного стану агроформувань. </w:t>
      </w:r>
    </w:p>
    <w:p w:rsidR="000E1DDB" w:rsidRPr="00113A25" w:rsidRDefault="0051099A" w:rsidP="000E1DDB">
      <w:pPr>
        <w:pStyle w:val="11"/>
      </w:pPr>
      <w:r w:rsidRPr="00113A25">
        <w:lastRenderedPageBreak/>
        <w:t>В екстенсивних господарствах використовуються природні властивості ґрунтів і ресурси природи, тоді як в інтенсивних господарствах земля розглядається як ресурс для залучення праці та капіталу. У першому випадку основну роль відіграє хімічний склад ґрунтів та наявність поживних речовин, тоді як у другому – фізичні властивості ґрунтів, зокрема їх здатність реагувати на додаткові дози мінеральних добрив, можуть виявитися більш значущими[</w:t>
      </w:r>
      <w:r w:rsidRPr="00113A25">
        <w:rPr>
          <w:rStyle w:val="ad"/>
        </w:rPr>
        <w:endnoteReference w:id="30"/>
      </w:r>
      <w:r w:rsidRPr="00113A25">
        <w:t>]</w:t>
      </w:r>
      <w:r w:rsidR="000E1DDB" w:rsidRPr="00113A25">
        <w:t>.</w:t>
      </w:r>
    </w:p>
    <w:p w:rsidR="00167D52" w:rsidRPr="00113A25" w:rsidRDefault="004E34CB" w:rsidP="006B773B">
      <w:pPr>
        <w:pStyle w:val="a3"/>
        <w:spacing w:before="0" w:beforeAutospacing="0" w:after="0" w:afterAutospacing="0" w:line="360" w:lineRule="auto"/>
        <w:ind w:firstLine="709"/>
        <w:jc w:val="both"/>
        <w:rPr>
          <w:sz w:val="28"/>
          <w:szCs w:val="28"/>
        </w:rPr>
      </w:pPr>
      <w:r w:rsidRPr="00113A25">
        <w:rPr>
          <w:sz w:val="28"/>
          <w:szCs w:val="28"/>
        </w:rPr>
        <w:t xml:space="preserve">Для макроекономічних господарських систем, у структурі експорту яких значну частку займає продукція з низькою доданою вартістю, зокрема корисні копалини, питання регулювання рентних відносин залишається надзвичайно актуальним. Процес видобування або використання природних рентних ресурсів створює умови для отримання непропорційно високих прибутків окремими суб’єктами господарювання приватної форми власності. </w:t>
      </w:r>
    </w:p>
    <w:p w:rsidR="004E34CB" w:rsidRPr="00113A25" w:rsidRDefault="004E34CB" w:rsidP="006B773B">
      <w:pPr>
        <w:pStyle w:val="a3"/>
        <w:spacing w:before="0" w:beforeAutospacing="0" w:after="0" w:afterAutospacing="0" w:line="360" w:lineRule="auto"/>
        <w:ind w:firstLine="709"/>
        <w:jc w:val="both"/>
        <w:rPr>
          <w:sz w:val="28"/>
          <w:szCs w:val="28"/>
        </w:rPr>
      </w:pPr>
      <w:r w:rsidRPr="00113A25">
        <w:rPr>
          <w:sz w:val="28"/>
          <w:szCs w:val="28"/>
        </w:rPr>
        <w:t>Водночас, у випадку державних підприємств, це здебільшого призводить до майже неконтрольованого зростання адміністративних витрат. Унаслідок недостатньо ефективного механізму перерозподілу прибутків від реалізації рентних відносин значна частина таких доходів не надходить до бюджетів різних рівнів і не приносить економічної вигоди громадянам, які є фактичними власниками більшості рентних ресурсів країни. Така ситуація негативно позначається на добробуті населення, перешкоджаючи досягненню соціально-економічної справедливості, та суттєво сповільнює прогрес у реалізації концепції сталого розвитку.</w:t>
      </w:r>
    </w:p>
    <w:p w:rsidR="004E34CB" w:rsidRPr="00113A25" w:rsidRDefault="004E34CB" w:rsidP="006B773B">
      <w:pPr>
        <w:pStyle w:val="a3"/>
        <w:spacing w:before="0" w:beforeAutospacing="0" w:after="0" w:afterAutospacing="0" w:line="360" w:lineRule="auto"/>
        <w:ind w:firstLine="709"/>
        <w:jc w:val="both"/>
        <w:rPr>
          <w:sz w:val="28"/>
          <w:szCs w:val="28"/>
        </w:rPr>
      </w:pPr>
      <w:r w:rsidRPr="00113A25">
        <w:rPr>
          <w:rStyle w:val="a5"/>
          <w:sz w:val="28"/>
          <w:szCs w:val="28"/>
        </w:rPr>
        <w:t xml:space="preserve"> </w:t>
      </w:r>
      <w:r w:rsidRPr="00113A25">
        <w:rPr>
          <w:sz w:val="28"/>
          <w:szCs w:val="28"/>
        </w:rPr>
        <w:t>Вплив земельної ренти на добробут громадян є багатовимірним і залежить від розподілу цього виду доходів в економіці, а також від ефективності державних механізмів регулювання. Враховуючи обмеженість земельних ресурсів, рента стає важливим чинником у формуванні суспільного добробуту через низку ключових аспектів (рис. 1.</w:t>
      </w:r>
      <w:r w:rsidR="004D2CA6" w:rsidRPr="00113A25">
        <w:rPr>
          <w:sz w:val="28"/>
          <w:szCs w:val="28"/>
        </w:rPr>
        <w:t>3</w:t>
      </w:r>
      <w:r w:rsidRPr="00113A25">
        <w:rPr>
          <w:sz w:val="28"/>
          <w:szCs w:val="28"/>
        </w:rPr>
        <w:t>).</w:t>
      </w:r>
    </w:p>
    <w:p w:rsidR="004D2CA6" w:rsidRPr="00113A25" w:rsidRDefault="004D2CA6" w:rsidP="004D2CA6">
      <w:pPr>
        <w:pStyle w:val="a3"/>
        <w:spacing w:before="0" w:beforeAutospacing="0" w:after="0" w:afterAutospacing="0" w:line="360" w:lineRule="auto"/>
        <w:ind w:firstLine="709"/>
        <w:jc w:val="both"/>
        <w:rPr>
          <w:sz w:val="28"/>
          <w:szCs w:val="28"/>
        </w:rPr>
      </w:pPr>
      <w:r w:rsidRPr="00113A25">
        <w:rPr>
          <w:sz w:val="28"/>
          <w:szCs w:val="28"/>
        </w:rPr>
        <w:t xml:space="preserve">Одним із основних напрямів впливу є формування державних доходів. Рента, яка оподатковується чи акумулюється в державному бюджеті, слугує джерелом фінансування соціальних програм, розвитку інфраструктури, </w:t>
      </w:r>
      <w:r w:rsidRPr="00113A25">
        <w:rPr>
          <w:sz w:val="28"/>
          <w:szCs w:val="28"/>
        </w:rPr>
        <w:lastRenderedPageBreak/>
        <w:t>освітніх та медичних ініціатив. Це, у свою чергу, сприяє покращенню якості життя громадян за рахунок підвищення рівня доступу до послуг. Наприклад, податкові надходження від землі чи орендна плата за державні землі здатні значно зміцнити фінансову базу регіонів.</w:t>
      </w:r>
    </w:p>
    <w:p w:rsidR="004E34CB" w:rsidRPr="00113A25" w:rsidRDefault="004E34CB" w:rsidP="006B773B">
      <w:pPr>
        <w:pStyle w:val="a3"/>
        <w:spacing w:before="0" w:beforeAutospacing="0" w:after="0" w:afterAutospacing="0" w:line="360" w:lineRule="auto"/>
        <w:ind w:firstLine="709"/>
        <w:jc w:val="both"/>
        <w:rPr>
          <w:sz w:val="28"/>
          <w:szCs w:val="28"/>
        </w:rPr>
      </w:pPr>
      <w:r w:rsidRPr="00113A25">
        <w:rPr>
          <w:noProof/>
          <w:sz w:val="28"/>
          <w:szCs w:val="28"/>
        </w:rPr>
        <w:drawing>
          <wp:inline distT="0" distB="0" distL="0" distR="0" wp14:anchorId="77D51BBD" wp14:editId="4596149A">
            <wp:extent cx="5257800" cy="4082143"/>
            <wp:effectExtent l="57150" t="0" r="5715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4E34CB" w:rsidRPr="00113A25" w:rsidRDefault="004E34CB" w:rsidP="006E60E6">
      <w:pPr>
        <w:pStyle w:val="11"/>
      </w:pPr>
      <w:r w:rsidRPr="00113A25">
        <w:rPr>
          <w:rFonts w:eastAsiaTheme="minorEastAsia"/>
        </w:rPr>
        <w:t>Рисунок 1.</w:t>
      </w:r>
      <w:r w:rsidR="004D2CA6" w:rsidRPr="00113A25">
        <w:rPr>
          <w:rFonts w:eastAsiaTheme="minorEastAsia"/>
        </w:rPr>
        <w:t>3</w:t>
      </w:r>
      <w:r w:rsidRPr="00113A25">
        <w:rPr>
          <w:rFonts w:eastAsiaTheme="minorEastAsia"/>
        </w:rPr>
        <w:t xml:space="preserve"> - Вплив земельної ренти на добробут громадян </w:t>
      </w:r>
    </w:p>
    <w:p w:rsidR="006B773B" w:rsidRPr="00113A25" w:rsidRDefault="004E34CB" w:rsidP="006B773B">
      <w:pPr>
        <w:pStyle w:val="a3"/>
        <w:spacing w:before="0" w:beforeAutospacing="0" w:after="0" w:afterAutospacing="0" w:line="360" w:lineRule="auto"/>
        <w:ind w:firstLine="709"/>
        <w:jc w:val="both"/>
        <w:rPr>
          <w:sz w:val="28"/>
          <w:szCs w:val="28"/>
        </w:rPr>
      </w:pPr>
      <w:r w:rsidRPr="00113A25">
        <w:rPr>
          <w:sz w:val="28"/>
          <w:szCs w:val="28"/>
        </w:rPr>
        <w:t>Джерело: складено автором на основі [</w:t>
      </w:r>
      <w:r w:rsidRPr="00113A25">
        <w:rPr>
          <w:rStyle w:val="ad"/>
          <w:sz w:val="28"/>
          <w:szCs w:val="28"/>
        </w:rPr>
        <w:endnoteReference w:id="31"/>
      </w:r>
      <w:r w:rsidRPr="00113A25">
        <w:rPr>
          <w:sz w:val="28"/>
          <w:szCs w:val="28"/>
        </w:rPr>
        <w:t>;</w:t>
      </w:r>
      <w:r w:rsidRPr="00113A25">
        <w:rPr>
          <w:rStyle w:val="ad"/>
          <w:sz w:val="28"/>
          <w:szCs w:val="28"/>
        </w:rPr>
        <w:endnoteReference w:id="32"/>
      </w:r>
      <w:r w:rsidRPr="00113A25">
        <w:rPr>
          <w:sz w:val="28"/>
          <w:szCs w:val="28"/>
        </w:rPr>
        <w:t>]</w:t>
      </w:r>
    </w:p>
    <w:p w:rsidR="006E60E6" w:rsidRPr="00113A25" w:rsidRDefault="006E60E6" w:rsidP="006B773B">
      <w:pPr>
        <w:pStyle w:val="a3"/>
        <w:spacing w:before="0" w:beforeAutospacing="0" w:after="0" w:afterAutospacing="0" w:line="360" w:lineRule="auto"/>
        <w:ind w:firstLine="709"/>
        <w:jc w:val="both"/>
        <w:rPr>
          <w:sz w:val="28"/>
          <w:szCs w:val="28"/>
        </w:rPr>
      </w:pPr>
    </w:p>
    <w:p w:rsidR="006B773B" w:rsidRPr="00113A25" w:rsidRDefault="006B773B" w:rsidP="006B773B">
      <w:pPr>
        <w:pStyle w:val="a3"/>
        <w:spacing w:before="0" w:beforeAutospacing="0" w:after="0" w:afterAutospacing="0" w:line="360" w:lineRule="auto"/>
        <w:ind w:firstLine="709"/>
        <w:jc w:val="both"/>
        <w:rPr>
          <w:sz w:val="28"/>
          <w:szCs w:val="28"/>
        </w:rPr>
      </w:pPr>
      <w:r w:rsidRPr="00113A25">
        <w:rPr>
          <w:sz w:val="28"/>
          <w:szCs w:val="28"/>
        </w:rPr>
        <w:t>Водночас нерівномірний розподіл земельної ренти може призводити до поглиблення соціальної нерівності. Якщо земельна рента зосереджується у вузького кола власників, це створює умови для майнової поляризації, знижуючи рівень добробуту більшості населення. Особливо гостро ця проблема проявляється у випадках монопольного володіння рентними доходами.</w:t>
      </w:r>
    </w:p>
    <w:p w:rsidR="006B773B" w:rsidRPr="00113A25" w:rsidRDefault="006B773B" w:rsidP="006B773B">
      <w:pPr>
        <w:pStyle w:val="a3"/>
        <w:spacing w:before="0" w:beforeAutospacing="0" w:after="0" w:afterAutospacing="0" w:line="360" w:lineRule="auto"/>
        <w:ind w:firstLine="709"/>
        <w:jc w:val="both"/>
        <w:rPr>
          <w:sz w:val="28"/>
          <w:szCs w:val="28"/>
        </w:rPr>
      </w:pPr>
      <w:r w:rsidRPr="00113A25">
        <w:rPr>
          <w:sz w:val="28"/>
          <w:szCs w:val="28"/>
        </w:rPr>
        <w:t xml:space="preserve">Значний вплив земельна рента має і на продовольчу безпеку країни. Її раціональне використання в аграрному секторі може сприяти підвищенню продуктивності сільського господарства, зниженню собівартості </w:t>
      </w:r>
      <w:r w:rsidRPr="00113A25">
        <w:rPr>
          <w:sz w:val="28"/>
          <w:szCs w:val="28"/>
        </w:rPr>
        <w:lastRenderedPageBreak/>
        <w:t>продовольства та забезпеченню стабільного доступу громадян до необхідних продуктів. Проте, надмірні орендні ставки здатні збільшити витрати фермерів, що провокує зростання цін на сільськогосподарську продукцію та ускладнює забезпечення продовольчої стабільності.</w:t>
      </w:r>
    </w:p>
    <w:p w:rsidR="006B773B" w:rsidRPr="00113A25" w:rsidRDefault="006B773B" w:rsidP="006B773B">
      <w:pPr>
        <w:pStyle w:val="a3"/>
        <w:spacing w:before="0" w:beforeAutospacing="0" w:after="0" w:afterAutospacing="0" w:line="360" w:lineRule="auto"/>
        <w:ind w:firstLine="709"/>
        <w:jc w:val="both"/>
        <w:rPr>
          <w:sz w:val="28"/>
          <w:szCs w:val="28"/>
        </w:rPr>
      </w:pPr>
      <w:r w:rsidRPr="00113A25">
        <w:rPr>
          <w:sz w:val="28"/>
          <w:szCs w:val="28"/>
        </w:rPr>
        <w:t>Важливою складовою є вплив ренти на розвиток регіонів. Доходи, отримані від використання земель, можуть стати потужним стимулом для регіональної економіки, створення нових робочих місць, модернізації інфраструктури та покращення соціальної сфери. Це безпосередньо впливає на якість життя населення у відповідних регіонах.</w:t>
      </w:r>
    </w:p>
    <w:p w:rsidR="006B773B" w:rsidRPr="00113A25" w:rsidRDefault="006B773B" w:rsidP="006B773B">
      <w:pPr>
        <w:pStyle w:val="a3"/>
        <w:spacing w:before="0" w:beforeAutospacing="0" w:after="0" w:afterAutospacing="0" w:line="360" w:lineRule="auto"/>
        <w:ind w:firstLine="709"/>
        <w:jc w:val="both"/>
        <w:rPr>
          <w:sz w:val="28"/>
          <w:szCs w:val="28"/>
        </w:rPr>
      </w:pPr>
      <w:r w:rsidRPr="00113A25">
        <w:rPr>
          <w:sz w:val="28"/>
          <w:szCs w:val="28"/>
        </w:rPr>
        <w:t>Земельна рента також має екологічний аспект впливу. Її спрямування на фінансування екологічних програм, таких як відновлення деградованих земель або впровадження екологічно орієнтованих технологій, забезпечує збереження природного середовища, що позитивно позначається на добробуті суспільства у довгостроковій перспективі.</w:t>
      </w:r>
    </w:p>
    <w:p w:rsidR="006B773B" w:rsidRPr="00113A25" w:rsidRDefault="006B773B" w:rsidP="009E71E2">
      <w:pPr>
        <w:pStyle w:val="11"/>
      </w:pPr>
      <w:r w:rsidRPr="00113A25">
        <w:t>Суттєвим є вплив ренти на доступність житла. Зростання орендної плати чи вартості землі під житлове будівництво може ускладнити доступ громадян до власного житла, особливо в умовах високої урбанізації. Натомість ефективна державна політика, спрямована на регулювання ренти та розвиток соціального житла, сприяє вирішенню житлових проблем населення.</w:t>
      </w:r>
    </w:p>
    <w:p w:rsidR="006B773B" w:rsidRPr="00113A25" w:rsidRDefault="006B773B" w:rsidP="006B773B">
      <w:pPr>
        <w:pStyle w:val="a3"/>
        <w:spacing w:before="0" w:beforeAutospacing="0" w:after="0" w:afterAutospacing="0" w:line="360" w:lineRule="auto"/>
        <w:ind w:firstLine="709"/>
        <w:jc w:val="both"/>
        <w:rPr>
          <w:sz w:val="28"/>
          <w:szCs w:val="28"/>
        </w:rPr>
      </w:pPr>
      <w:r w:rsidRPr="00113A25">
        <w:rPr>
          <w:sz w:val="28"/>
          <w:szCs w:val="28"/>
        </w:rPr>
        <w:t>Варто зазначити, що земельна рента може стимулювати економічну активність, адже частина рентних доходів, реінвестована в економіку, сприяє розвитку підприємництва, створенню нових робочих місць та зростанню доходів домогосподарств, що в кінцевому підсумку позитивно впливає на загальний рівень добробуту.</w:t>
      </w:r>
    </w:p>
    <w:p w:rsidR="009E71E2" w:rsidRPr="00113A25" w:rsidRDefault="006B773B" w:rsidP="009E71E2">
      <w:pPr>
        <w:pStyle w:val="11"/>
      </w:pPr>
      <w:r w:rsidRPr="00113A25">
        <w:t xml:space="preserve"> </w:t>
      </w:r>
      <w:r w:rsidR="009E71E2" w:rsidRPr="00113A25">
        <w:t xml:space="preserve">Отже, ефективне використання ренти може стати потужним інструментом для забезпечення продовольчої безпеки, покращення інфраструктури, фінансування соціальних програм та підтримки екологічних ініціатив. Особливе значення має спрямування рентних доходів на розвиток регіонів, оскільки це сприяє створенню нових робочих місць, модернізації виробництва та зростанню економічної активності. У цьому контексті </w:t>
      </w:r>
      <w:r w:rsidR="009E71E2" w:rsidRPr="00113A25">
        <w:lastRenderedPageBreak/>
        <w:t>важливою є державна політика, орієнтована на забезпечення справедливого перерозподілу рентних доходів, підтримку соціальної рівноваги та стимулювання сталого економічного зростання. Успішна реалізація такої політики сприятиме підвищенню добробуту населення, зменшенню соціальних диспропорцій та прискоренню переходу до моделі сталого розвитку.</w:t>
      </w:r>
    </w:p>
    <w:p w:rsidR="001E2A9E" w:rsidRPr="00113A25" w:rsidRDefault="001E2A9E">
      <w:pPr>
        <w:rPr>
          <w:rFonts w:ascii="Times New Roman" w:eastAsiaTheme="majorEastAsia" w:hAnsi="Times New Roman" w:cs="Times New Roman"/>
          <w:b/>
          <w:sz w:val="28"/>
          <w:szCs w:val="28"/>
        </w:rPr>
      </w:pPr>
      <w:r w:rsidRPr="00113A25">
        <w:rPr>
          <w:rFonts w:ascii="Times New Roman" w:hAnsi="Times New Roman" w:cs="Times New Roman"/>
          <w:b/>
          <w:sz w:val="28"/>
          <w:szCs w:val="28"/>
        </w:rPr>
        <w:br w:type="page"/>
      </w:r>
    </w:p>
    <w:p w:rsidR="000C60E3" w:rsidRPr="00113A25" w:rsidRDefault="000C60E3" w:rsidP="000C60E3">
      <w:pPr>
        <w:pStyle w:val="1"/>
        <w:spacing w:before="0" w:line="360" w:lineRule="auto"/>
        <w:ind w:firstLine="709"/>
        <w:jc w:val="center"/>
        <w:rPr>
          <w:rFonts w:ascii="Times New Roman" w:hAnsi="Times New Roman" w:cs="Times New Roman"/>
          <w:b/>
          <w:color w:val="auto"/>
          <w:sz w:val="28"/>
          <w:szCs w:val="28"/>
        </w:rPr>
      </w:pPr>
      <w:bookmarkStart w:id="22" w:name="_Toc187523563"/>
      <w:r w:rsidRPr="00113A25">
        <w:rPr>
          <w:rFonts w:ascii="Times New Roman" w:hAnsi="Times New Roman" w:cs="Times New Roman"/>
          <w:b/>
          <w:color w:val="auto"/>
          <w:sz w:val="28"/>
          <w:szCs w:val="28"/>
        </w:rPr>
        <w:lastRenderedPageBreak/>
        <w:t>РОЗДІЛ 2</w:t>
      </w:r>
      <w:bookmarkEnd w:id="22"/>
    </w:p>
    <w:p w:rsidR="000C60E3" w:rsidRPr="00113A25" w:rsidRDefault="000C60E3" w:rsidP="000C60E3">
      <w:pPr>
        <w:pStyle w:val="1"/>
        <w:spacing w:before="0" w:line="360" w:lineRule="auto"/>
        <w:ind w:firstLine="709"/>
        <w:jc w:val="center"/>
        <w:rPr>
          <w:rFonts w:ascii="Times New Roman" w:hAnsi="Times New Roman" w:cs="Times New Roman"/>
          <w:b/>
          <w:color w:val="auto"/>
          <w:sz w:val="28"/>
          <w:szCs w:val="28"/>
        </w:rPr>
      </w:pPr>
      <w:bookmarkStart w:id="23" w:name="_Toc187523564"/>
      <w:r w:rsidRPr="00113A25">
        <w:rPr>
          <w:rFonts w:ascii="Times New Roman" w:hAnsi="Times New Roman" w:cs="Times New Roman"/>
          <w:b/>
          <w:color w:val="auto"/>
          <w:sz w:val="28"/>
          <w:szCs w:val="28"/>
        </w:rPr>
        <w:t>ДОСЛІДЖЕННЯ ЗЕМЕЛЬНОЇ РЕНТИ ТА ЇЇ ВПЛИВ НА СОЦІАЛЬНУ СПРАВЕДЛИВІСТЬ В УКРАЇНІ</w:t>
      </w:r>
      <w:bookmarkEnd w:id="23"/>
    </w:p>
    <w:p w:rsidR="000C60E3" w:rsidRPr="00113A25" w:rsidRDefault="000C60E3" w:rsidP="000C60E3">
      <w:pPr>
        <w:spacing w:after="0" w:line="360" w:lineRule="auto"/>
        <w:ind w:firstLine="709"/>
        <w:jc w:val="both"/>
        <w:rPr>
          <w:rFonts w:ascii="Times New Roman" w:hAnsi="Times New Roman" w:cs="Times New Roman"/>
          <w:sz w:val="28"/>
          <w:szCs w:val="28"/>
        </w:rPr>
      </w:pPr>
    </w:p>
    <w:p w:rsidR="000C60E3" w:rsidRPr="00113A25" w:rsidRDefault="000C60E3" w:rsidP="000C60E3">
      <w:pPr>
        <w:pStyle w:val="1"/>
        <w:spacing w:before="0" w:line="360" w:lineRule="auto"/>
        <w:ind w:firstLine="709"/>
        <w:jc w:val="both"/>
        <w:rPr>
          <w:rFonts w:ascii="Times New Roman" w:hAnsi="Times New Roman" w:cs="Times New Roman"/>
          <w:b/>
          <w:color w:val="auto"/>
          <w:sz w:val="28"/>
          <w:szCs w:val="28"/>
        </w:rPr>
      </w:pPr>
      <w:bookmarkStart w:id="24" w:name="_Toc187523565"/>
      <w:r w:rsidRPr="00113A25">
        <w:rPr>
          <w:rFonts w:ascii="Times New Roman" w:hAnsi="Times New Roman" w:cs="Times New Roman"/>
          <w:b/>
          <w:color w:val="auto"/>
          <w:sz w:val="28"/>
          <w:szCs w:val="28"/>
        </w:rPr>
        <w:t>2.1. Взаємозв’язок між земельною рентою та рівнем соціальної нерівності</w:t>
      </w:r>
      <w:bookmarkEnd w:id="24"/>
      <w:r w:rsidRPr="00113A25">
        <w:rPr>
          <w:rFonts w:ascii="Times New Roman" w:hAnsi="Times New Roman" w:cs="Times New Roman"/>
          <w:b/>
          <w:color w:val="auto"/>
          <w:sz w:val="28"/>
          <w:szCs w:val="28"/>
        </w:rPr>
        <w:t xml:space="preserve">  </w:t>
      </w:r>
    </w:p>
    <w:p w:rsidR="000C60E3" w:rsidRPr="00113A25" w:rsidRDefault="000C60E3" w:rsidP="000C60E3">
      <w:pPr>
        <w:spacing w:after="0" w:line="360" w:lineRule="auto"/>
        <w:ind w:firstLine="709"/>
        <w:jc w:val="both"/>
        <w:rPr>
          <w:rFonts w:ascii="Times New Roman" w:hAnsi="Times New Roman" w:cs="Times New Roman"/>
          <w:sz w:val="28"/>
          <w:szCs w:val="28"/>
        </w:rPr>
      </w:pPr>
    </w:p>
    <w:p w:rsidR="00926BA7" w:rsidRPr="00113A25" w:rsidRDefault="00926BA7" w:rsidP="00926BA7">
      <w:pPr>
        <w:pStyle w:val="11"/>
      </w:pPr>
      <w:r w:rsidRPr="00113A25">
        <w:t>Дослідження взаємозв'язку між земельною рентою та соціальною нерівністю є важливим етапом у дослідженні ефективності використання природних ресурсів для забезпечення соціальної справедливості. Земельна рента безпосередньо пов'язана з розподілом доходів серед населення, оскільки вона є основним джерелом доходу для власників земельних ділянок та має значний вплив на рівень економічної нерівності в суспільстві. Оцінка цього взаємозв'язку дає змогу зрозуміти, як земельні ресурси можуть бути використані для зменшення або, навпаки, поглиблення соціальної нерівності в країні.</w:t>
      </w:r>
    </w:p>
    <w:p w:rsidR="00926BA7" w:rsidRPr="00113A25" w:rsidRDefault="00926BA7" w:rsidP="00926BA7">
      <w:pPr>
        <w:pStyle w:val="11"/>
      </w:pPr>
      <w:r w:rsidRPr="00113A25">
        <w:t>За таких умов особливу важливість має застосування системи показників, що дозволяють оцінити вплив земельної ренти на розподіл доходів, рівень життя та соціальну мобільність. Така система показників повинна включати як економічні, так і соціальні параметри, що відображають не лише рівень доходу, але й доступність ресурсів для різних соціальних груп. Одним із важливих аспектів є аналіз ефективності використання земельних ділянок для забезпечення рівних можливостей у доступі до природних ресурсів, а також оцінка того, як різні форми земельної ренти впливають на поляризацію доходів серед населення.</w:t>
      </w:r>
    </w:p>
    <w:p w:rsidR="00926BA7" w:rsidRPr="00113A25" w:rsidRDefault="00926BA7" w:rsidP="00926BA7">
      <w:pPr>
        <w:pStyle w:val="11"/>
      </w:pPr>
      <w:r w:rsidRPr="00113A25">
        <w:t xml:space="preserve">Одним із ключових індикаторів є обсяг земельної ренти на душу населення, який відображає частку доходів від ренти, що припадає на одного громадянина. Низький рівень цього показника у порівнянні з потенційними обсягами земельної ренти може свідчити про недостатню ефективність </w:t>
      </w:r>
      <w:r w:rsidRPr="00113A25">
        <w:lastRenderedPageBreak/>
        <w:t xml:space="preserve">механізмів її перерозподілу, що, у свою чергу, не сприяє вирівнюванню рівня доходів у суспільстві.  </w:t>
      </w:r>
    </w:p>
    <w:p w:rsidR="00926BA7" w:rsidRPr="00113A25" w:rsidRDefault="001A51CC" w:rsidP="005135FD">
      <w:pPr>
        <w:pStyle w:val="11"/>
        <w:ind w:firstLine="0"/>
      </w:pPr>
      <w:r w:rsidRPr="00113A25">
        <w:rPr>
          <w:noProof/>
        </w:rPr>
        <w:drawing>
          <wp:inline distT="0" distB="0" distL="0" distR="0" wp14:anchorId="29A12400" wp14:editId="25EED57D">
            <wp:extent cx="5939790" cy="4114800"/>
            <wp:effectExtent l="0" t="0" r="381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26BA7" w:rsidRPr="00113A25" w:rsidRDefault="005135FD" w:rsidP="00926BA7">
      <w:pPr>
        <w:pStyle w:val="11"/>
      </w:pPr>
      <w:r w:rsidRPr="00113A25">
        <w:t xml:space="preserve">Рисунок 2.1 – Динаміка рентної плати в розрахунку на 1 особу в Україні в 2019-01.11.2024 рр., грн. </w:t>
      </w:r>
    </w:p>
    <w:p w:rsidR="005135FD" w:rsidRPr="00113A25" w:rsidRDefault="005135FD" w:rsidP="00926BA7">
      <w:pPr>
        <w:pStyle w:val="11"/>
      </w:pPr>
    </w:p>
    <w:p w:rsidR="001A51CC" w:rsidRPr="00113A25" w:rsidRDefault="001A51CC" w:rsidP="001A51CC">
      <w:pPr>
        <w:pStyle w:val="11"/>
      </w:pPr>
      <w:r w:rsidRPr="00113A25">
        <w:t xml:space="preserve">Аналіз обсягу рентної плати в розрахунку на одну особу за період 2019-2022 рр. вказує на стабільний ріст цього показника. У 2019 році обсяг рентної плати становив 1169,89 грн, а до 2022 року зріс до 2476,47 грн, що свідчить про значне збільшення на 111,7%. Така динаміка свідчить про зростання надходжень до бюджету від рентної плати, що може бути результатом збільшення виробничих </w:t>
      </w:r>
      <w:proofErr w:type="spellStart"/>
      <w:r w:rsidRPr="00113A25">
        <w:t>потужностей</w:t>
      </w:r>
      <w:proofErr w:type="spellEnd"/>
      <w:r w:rsidRPr="00113A25">
        <w:t xml:space="preserve"> або підвищення ставок податків, а також можливої зміни в обсягах видобування природних ресурсів чи інших факторів, що впливають на рентну плату. Проте, у 2023 році та в періоді до жовтня 2024 року спостерігається зворотна тенденція: обсяг рентної плати зменшився з 1792,16 грн до 1367,45 грн на 1 особу. Зниження на 23,7% вказує на можливі економічні труднощі або зменшення видобутку природних ресурсів, а також </w:t>
      </w:r>
      <w:r w:rsidRPr="00113A25">
        <w:lastRenderedPageBreak/>
        <w:t>можливі зміни в податковому законодавстві, які могли зменшити розмір рентних платежів. Це зниження також може бути пов'язане з негативними економічними наслідками, з</w:t>
      </w:r>
      <w:r w:rsidR="00AA0FB5">
        <w:t xml:space="preserve">окрема впливом воєнних дій, що </w:t>
      </w:r>
      <w:r w:rsidRPr="00113A25">
        <w:t xml:space="preserve">призвело до скорочення економічної активності в окремих секторах, що сплачують ренту. Таким чином, зростання обсягу рентної плати в 2019-2022 роках відображає позитивну економічну динаміку, а зниження в 2023-2024 роках, в свою чергу, вказує на потенційне економічне зниження, яке може бути пов'язано як із змінами в ринкових умовах в умовах повномасштабної війни в Україні. </w:t>
      </w:r>
    </w:p>
    <w:p w:rsidR="005135FD" w:rsidRPr="00113A25" w:rsidRDefault="00926BA7" w:rsidP="00926BA7">
      <w:pPr>
        <w:pStyle w:val="11"/>
      </w:pPr>
      <w:r w:rsidRPr="00113A25">
        <w:t>Значну роль у дослідженні відіграє аналіз частки ренти у доходах домогосподарств, який демонструє, наскільки рентні доходи впливають на рівень добробуту населення.</w:t>
      </w:r>
    </w:p>
    <w:p w:rsidR="009B059C" w:rsidRPr="00113A25" w:rsidRDefault="009B059C" w:rsidP="00926BA7">
      <w:pPr>
        <w:pStyle w:val="11"/>
      </w:pPr>
      <w:r w:rsidRPr="00113A25">
        <w:t xml:space="preserve">Таблиця 2.1 – Динаміка структури доходів домогосподарств в Україні в 2019-2023 рр., % </w:t>
      </w:r>
    </w:p>
    <w:tbl>
      <w:tblPr>
        <w:tblW w:w="9669" w:type="dxa"/>
        <w:tblInd w:w="-431" w:type="dxa"/>
        <w:tblLayout w:type="fixed"/>
        <w:tblLook w:val="04A0" w:firstRow="1" w:lastRow="0" w:firstColumn="1" w:lastColumn="0" w:noHBand="0" w:noVBand="1"/>
      </w:tblPr>
      <w:tblGrid>
        <w:gridCol w:w="2268"/>
        <w:gridCol w:w="850"/>
        <w:gridCol w:w="960"/>
        <w:gridCol w:w="960"/>
        <w:gridCol w:w="960"/>
        <w:gridCol w:w="962"/>
        <w:gridCol w:w="13"/>
        <w:gridCol w:w="965"/>
        <w:gridCol w:w="763"/>
        <w:gridCol w:w="955"/>
        <w:gridCol w:w="13"/>
      </w:tblGrid>
      <w:tr w:rsidR="005135FD" w:rsidRPr="005135FD" w:rsidTr="00D36B1A">
        <w:trPr>
          <w:trHeight w:val="288"/>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jc w:val="center"/>
              <w:rPr>
                <w:rFonts w:ascii="Times New Roman" w:eastAsia="Times New Roman" w:hAnsi="Times New Roman" w:cs="Times New Roman"/>
                <w:bCs/>
                <w:sz w:val="24"/>
                <w:szCs w:val="24"/>
                <w:lang w:eastAsia="uk-UA"/>
              </w:rPr>
            </w:pPr>
            <w:r w:rsidRPr="005135FD">
              <w:rPr>
                <w:rFonts w:ascii="Times New Roman" w:eastAsia="Times New Roman" w:hAnsi="Times New Roman" w:cs="Times New Roman"/>
                <w:bCs/>
                <w:sz w:val="24"/>
                <w:szCs w:val="24"/>
                <w:lang w:eastAsia="uk-UA"/>
              </w:rPr>
              <w:t>Структура сукупних ресурсів домогосподарств</w:t>
            </w:r>
          </w:p>
        </w:tc>
        <w:tc>
          <w:tcPr>
            <w:tcW w:w="4705" w:type="dxa"/>
            <w:gridSpan w:val="6"/>
            <w:tcBorders>
              <w:top w:val="single" w:sz="4" w:space="0" w:color="auto"/>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Роки, %</w:t>
            </w:r>
          </w:p>
        </w:tc>
        <w:tc>
          <w:tcPr>
            <w:tcW w:w="2695" w:type="dxa"/>
            <w:gridSpan w:val="4"/>
            <w:tcBorders>
              <w:top w:val="single" w:sz="4" w:space="0" w:color="auto"/>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Абсолютний приріст, %</w:t>
            </w:r>
          </w:p>
        </w:tc>
      </w:tr>
      <w:tr w:rsidR="001A51CC" w:rsidRPr="00113A25" w:rsidTr="00D36B1A">
        <w:trPr>
          <w:gridAfter w:val="1"/>
          <w:wAfter w:w="13" w:type="dxa"/>
          <w:trHeight w:val="62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135FD" w:rsidRPr="005135FD" w:rsidRDefault="005135FD" w:rsidP="005135FD">
            <w:pPr>
              <w:spacing w:after="0" w:line="240" w:lineRule="auto"/>
              <w:rPr>
                <w:rFonts w:ascii="Times New Roman" w:eastAsia="Times New Roman" w:hAnsi="Times New Roman" w:cs="Times New Roman"/>
                <w:bCs/>
                <w:sz w:val="24"/>
                <w:szCs w:val="24"/>
                <w:lang w:eastAsia="uk-UA"/>
              </w:rPr>
            </w:pP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2019</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2020</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2021</w:t>
            </w:r>
          </w:p>
        </w:tc>
        <w:tc>
          <w:tcPr>
            <w:tcW w:w="960"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2022</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2023</w:t>
            </w:r>
          </w:p>
        </w:tc>
        <w:tc>
          <w:tcPr>
            <w:tcW w:w="978" w:type="dxa"/>
            <w:gridSpan w:val="2"/>
            <w:tcBorders>
              <w:top w:val="nil"/>
              <w:left w:val="nil"/>
              <w:bottom w:val="single" w:sz="4" w:space="0" w:color="auto"/>
              <w:right w:val="single" w:sz="4" w:space="0" w:color="auto"/>
            </w:tcBorders>
            <w:shd w:val="clear" w:color="auto" w:fill="auto"/>
            <w:vAlign w:val="center"/>
            <w:hideMark/>
          </w:tcPr>
          <w:p w:rsidR="005135FD" w:rsidRPr="00113A25"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2022/</w:t>
            </w:r>
          </w:p>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2021</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113A25"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2023/</w:t>
            </w:r>
          </w:p>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2022</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113A25"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2023/</w:t>
            </w:r>
          </w:p>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2019</w:t>
            </w:r>
          </w:p>
        </w:tc>
      </w:tr>
      <w:tr w:rsidR="001A51CC" w:rsidRPr="00113A25" w:rsidTr="00D36B1A">
        <w:trPr>
          <w:gridAfter w:val="1"/>
          <w:wAfter w:w="13" w:type="dxa"/>
          <w:trHeight w:val="31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Грошові доходи</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92,0</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93,9</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93,9</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93,3</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92,8</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-0,6</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-0,5</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0,8</w:t>
            </w:r>
          </w:p>
        </w:tc>
      </w:tr>
      <w:tr w:rsidR="001A51CC" w:rsidRPr="00113A25" w:rsidTr="00D36B1A">
        <w:trPr>
          <w:gridAfter w:val="1"/>
          <w:wAfter w:w="13" w:type="dxa"/>
          <w:trHeight w:val="31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 оплата праці</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57,3</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58,3</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59,8</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58,5</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61,7</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-1,3</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3,2</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4,4</w:t>
            </w:r>
          </w:p>
        </w:tc>
      </w:tr>
      <w:tr w:rsidR="001A51CC" w:rsidRPr="00113A25" w:rsidTr="00D36B1A">
        <w:trPr>
          <w:gridAfter w:val="1"/>
          <w:wAfter w:w="13" w:type="dxa"/>
          <w:trHeight w:val="123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 xml:space="preserve">- доходи від підприємницької діяльності та </w:t>
            </w:r>
            <w:proofErr w:type="spellStart"/>
            <w:r w:rsidRPr="005135FD">
              <w:rPr>
                <w:rFonts w:ascii="Times New Roman" w:eastAsia="Times New Roman" w:hAnsi="Times New Roman" w:cs="Times New Roman"/>
                <w:sz w:val="24"/>
                <w:szCs w:val="24"/>
                <w:lang w:eastAsia="uk-UA"/>
              </w:rPr>
              <w:t>самозяйнятості</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6,5</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5,8</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5,7</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6,0</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6,4</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0,3</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0,4</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-0,1</w:t>
            </w:r>
          </w:p>
        </w:tc>
      </w:tr>
      <w:tr w:rsidR="001A51CC" w:rsidRPr="00113A25" w:rsidTr="00D36B1A">
        <w:trPr>
          <w:gridAfter w:val="1"/>
          <w:wAfter w:w="13" w:type="dxa"/>
          <w:trHeight w:val="62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 доходи від продажу сільськогосподарської продукції</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2,4</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2,2</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2,5</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2,4</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1,7</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-0,1</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-0,7</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-0,7</w:t>
            </w:r>
          </w:p>
        </w:tc>
      </w:tr>
      <w:tr w:rsidR="001A51CC" w:rsidRPr="00113A25" w:rsidTr="00D36B1A">
        <w:trPr>
          <w:gridAfter w:val="1"/>
          <w:wAfter w:w="13" w:type="dxa"/>
          <w:trHeight w:val="62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 пенсії, стипендії, соціальні допомоги, надані готівкою</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19,2</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20,8</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19,8</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19,9</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15,5</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0,1</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-4,4</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-3,7</w:t>
            </w:r>
          </w:p>
        </w:tc>
      </w:tr>
      <w:tr w:rsidR="001A51CC" w:rsidRPr="00113A25" w:rsidTr="00D36B1A">
        <w:trPr>
          <w:gridAfter w:val="1"/>
          <w:wAfter w:w="13" w:type="dxa"/>
          <w:trHeight w:val="93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 грошова допомога від родичів, інших осіб та інші грошові доходи</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6,6</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6,8</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6,1</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6,5</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7,5</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0,4</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1,0</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0,9</w:t>
            </w:r>
          </w:p>
        </w:tc>
      </w:tr>
      <w:tr w:rsidR="001A51CC" w:rsidRPr="00113A25" w:rsidTr="00D36B1A">
        <w:trPr>
          <w:gridAfter w:val="1"/>
          <w:wAfter w:w="13" w:type="dxa"/>
          <w:trHeight w:val="1248"/>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 xml:space="preserve">Вартість спожитої продукції, отриманої з особистого підсобного господарства та від </w:t>
            </w:r>
            <w:proofErr w:type="spellStart"/>
            <w:r w:rsidRPr="005135FD">
              <w:rPr>
                <w:rFonts w:ascii="Times New Roman" w:eastAsia="Times New Roman" w:hAnsi="Times New Roman" w:cs="Times New Roman"/>
                <w:sz w:val="24"/>
                <w:szCs w:val="24"/>
                <w:lang w:eastAsia="uk-UA"/>
              </w:rPr>
              <w:t>самозаготівель</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3,6</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3,3</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3,0</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3,3</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3,1</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0,3</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-0,2</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-0,5</w:t>
            </w:r>
          </w:p>
        </w:tc>
      </w:tr>
      <w:tr w:rsidR="001A51CC" w:rsidRPr="00113A25" w:rsidTr="00D36B1A">
        <w:trPr>
          <w:gridAfter w:val="1"/>
          <w:wAfter w:w="12" w:type="dxa"/>
          <w:trHeight w:val="586"/>
        </w:trPr>
        <w:tc>
          <w:tcPr>
            <w:tcW w:w="9657" w:type="dxa"/>
            <w:gridSpan w:val="10"/>
            <w:tcBorders>
              <w:top w:val="nil"/>
              <w:left w:val="single" w:sz="4" w:space="0" w:color="FFFFFF" w:themeColor="background1"/>
              <w:bottom w:val="single" w:sz="4" w:space="0" w:color="auto"/>
              <w:right w:val="single" w:sz="4" w:space="0" w:color="FFFFFF" w:themeColor="background1"/>
            </w:tcBorders>
            <w:shd w:val="clear" w:color="auto" w:fill="auto"/>
            <w:vAlign w:val="center"/>
          </w:tcPr>
          <w:p w:rsidR="001A51CC" w:rsidRPr="00113A25" w:rsidRDefault="001A51CC" w:rsidP="001A51CC">
            <w:pPr>
              <w:spacing w:after="0" w:line="240" w:lineRule="auto"/>
              <w:jc w:val="right"/>
              <w:rPr>
                <w:rFonts w:ascii="Times New Roman" w:eastAsia="Times New Roman" w:hAnsi="Times New Roman" w:cs="Times New Roman"/>
                <w:color w:val="000000"/>
                <w:sz w:val="24"/>
                <w:szCs w:val="24"/>
                <w:lang w:eastAsia="uk-UA"/>
              </w:rPr>
            </w:pPr>
            <w:r w:rsidRPr="00113A25">
              <w:rPr>
                <w:rFonts w:ascii="Times New Roman" w:eastAsia="Times New Roman" w:hAnsi="Times New Roman" w:cs="Times New Roman"/>
                <w:color w:val="000000"/>
                <w:sz w:val="24"/>
                <w:szCs w:val="24"/>
                <w:lang w:eastAsia="uk-UA"/>
              </w:rPr>
              <w:lastRenderedPageBreak/>
              <w:t>Продовження таблиці 2.1</w:t>
            </w:r>
          </w:p>
        </w:tc>
      </w:tr>
      <w:tr w:rsidR="001A51CC" w:rsidRPr="00113A25" w:rsidTr="00D36B1A">
        <w:trPr>
          <w:gridAfter w:val="1"/>
          <w:wAfter w:w="13" w:type="dxa"/>
          <w:trHeight w:val="93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Пільги та субсидії безготівкові на оплату житлово-комунальних послуг, електроенергії, палива</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0,7</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0,2</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0,1</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0,3</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0,6</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0,2</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0,3</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-0,1</w:t>
            </w:r>
          </w:p>
        </w:tc>
      </w:tr>
      <w:tr w:rsidR="001A51CC" w:rsidRPr="00113A25" w:rsidTr="00D36B1A">
        <w:trPr>
          <w:gridAfter w:val="1"/>
          <w:wAfter w:w="13" w:type="dxa"/>
          <w:trHeight w:val="187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Пільги безготівкові на оплату товарів та послуг з охорони здоров’я, туристичних послуг, путівок на бази відпочинку тощо, на оплату послуг транспорту, зв’язку</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0,4</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0,2</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0,3</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0,3</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0,6</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0,0</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0,3</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0,2</w:t>
            </w:r>
          </w:p>
        </w:tc>
      </w:tr>
      <w:tr w:rsidR="001A51CC" w:rsidRPr="00113A25" w:rsidTr="00D36B1A">
        <w:trPr>
          <w:gridAfter w:val="1"/>
          <w:wAfter w:w="13" w:type="dxa"/>
          <w:trHeight w:val="31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5135FD" w:rsidP="005135FD">
            <w:pPr>
              <w:spacing w:after="0" w:line="240" w:lineRule="auto"/>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Інші надходження</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3,3</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2,4</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2,7</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2,8</w:t>
            </w:r>
          </w:p>
        </w:tc>
        <w:tc>
          <w:tcPr>
            <w:tcW w:w="962"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2,9</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0,1</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0,1</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-0,4</w:t>
            </w:r>
          </w:p>
        </w:tc>
      </w:tr>
      <w:tr w:rsidR="001A51CC" w:rsidRPr="00113A25" w:rsidTr="00D36B1A">
        <w:trPr>
          <w:gridAfter w:val="1"/>
          <w:wAfter w:w="13" w:type="dxa"/>
          <w:trHeight w:val="31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135FD" w:rsidRPr="005135FD" w:rsidRDefault="00E05F2F" w:rsidP="005135FD">
            <w:pPr>
              <w:spacing w:after="0" w:line="240" w:lineRule="auto"/>
              <w:rPr>
                <w:rFonts w:ascii="Times New Roman" w:eastAsia="Times New Roman" w:hAnsi="Times New Roman" w:cs="Times New Roman"/>
                <w:i/>
                <w:iCs/>
                <w:sz w:val="24"/>
                <w:szCs w:val="24"/>
                <w:lang w:eastAsia="uk-UA"/>
              </w:rPr>
            </w:pPr>
            <w:r w:rsidRPr="00113A25">
              <w:rPr>
                <w:rFonts w:ascii="Times New Roman" w:eastAsia="Times New Roman" w:hAnsi="Times New Roman" w:cs="Times New Roman"/>
                <w:i/>
                <w:iCs/>
                <w:sz w:val="24"/>
                <w:szCs w:val="24"/>
                <w:lang w:eastAsia="uk-UA"/>
              </w:rPr>
              <w:t>Д</w:t>
            </w:r>
            <w:r w:rsidR="005135FD" w:rsidRPr="005135FD">
              <w:rPr>
                <w:rFonts w:ascii="Times New Roman" w:eastAsia="Times New Roman" w:hAnsi="Times New Roman" w:cs="Times New Roman"/>
                <w:i/>
                <w:iCs/>
                <w:sz w:val="24"/>
                <w:szCs w:val="24"/>
                <w:lang w:eastAsia="uk-UA"/>
              </w:rPr>
              <w:t>оходи від ренти</w:t>
            </w:r>
          </w:p>
        </w:tc>
        <w:tc>
          <w:tcPr>
            <w:tcW w:w="85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1,0</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0,9</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1,1</w:t>
            </w:r>
          </w:p>
        </w:tc>
        <w:tc>
          <w:tcPr>
            <w:tcW w:w="960"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1,6</w:t>
            </w:r>
          </w:p>
        </w:tc>
        <w:tc>
          <w:tcPr>
            <w:tcW w:w="962" w:type="dxa"/>
            <w:tcBorders>
              <w:top w:val="nil"/>
              <w:left w:val="nil"/>
              <w:bottom w:val="single" w:sz="4" w:space="0" w:color="auto"/>
              <w:right w:val="single" w:sz="4" w:space="0" w:color="auto"/>
            </w:tcBorders>
            <w:shd w:val="clear" w:color="auto" w:fill="auto"/>
            <w:vAlign w:val="center"/>
            <w:hideMark/>
          </w:tcPr>
          <w:p w:rsidR="005135FD" w:rsidRPr="005135FD" w:rsidRDefault="005135FD" w:rsidP="009B059C">
            <w:pPr>
              <w:spacing w:after="0" w:line="240" w:lineRule="auto"/>
              <w:jc w:val="center"/>
              <w:rPr>
                <w:rFonts w:ascii="Times New Roman" w:eastAsia="Times New Roman" w:hAnsi="Times New Roman" w:cs="Times New Roman"/>
                <w:sz w:val="24"/>
                <w:szCs w:val="24"/>
                <w:lang w:eastAsia="uk-UA"/>
              </w:rPr>
            </w:pPr>
            <w:r w:rsidRPr="005135FD">
              <w:rPr>
                <w:rFonts w:ascii="Times New Roman" w:eastAsia="Times New Roman" w:hAnsi="Times New Roman" w:cs="Times New Roman"/>
                <w:sz w:val="24"/>
                <w:szCs w:val="24"/>
                <w:lang w:eastAsia="uk-UA"/>
              </w:rPr>
              <w:t>1,8</w:t>
            </w:r>
          </w:p>
        </w:tc>
        <w:tc>
          <w:tcPr>
            <w:tcW w:w="978" w:type="dxa"/>
            <w:gridSpan w:val="2"/>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0,5</w:t>
            </w:r>
          </w:p>
        </w:tc>
        <w:tc>
          <w:tcPr>
            <w:tcW w:w="763"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0,2</w:t>
            </w:r>
          </w:p>
        </w:tc>
        <w:tc>
          <w:tcPr>
            <w:tcW w:w="954" w:type="dxa"/>
            <w:tcBorders>
              <w:top w:val="nil"/>
              <w:left w:val="nil"/>
              <w:bottom w:val="single" w:sz="4" w:space="0" w:color="auto"/>
              <w:right w:val="single" w:sz="4" w:space="0" w:color="auto"/>
            </w:tcBorders>
            <w:shd w:val="clear" w:color="auto" w:fill="auto"/>
            <w:noWrap/>
            <w:vAlign w:val="center"/>
            <w:hideMark/>
          </w:tcPr>
          <w:p w:rsidR="005135FD" w:rsidRPr="005135FD" w:rsidRDefault="005135FD" w:rsidP="009B059C">
            <w:pPr>
              <w:spacing w:after="0" w:line="240" w:lineRule="auto"/>
              <w:jc w:val="center"/>
              <w:rPr>
                <w:rFonts w:ascii="Times New Roman" w:eastAsia="Times New Roman" w:hAnsi="Times New Roman" w:cs="Times New Roman"/>
                <w:color w:val="000000"/>
                <w:sz w:val="24"/>
                <w:szCs w:val="24"/>
                <w:lang w:eastAsia="uk-UA"/>
              </w:rPr>
            </w:pPr>
            <w:r w:rsidRPr="005135FD">
              <w:rPr>
                <w:rFonts w:ascii="Times New Roman" w:eastAsia="Times New Roman" w:hAnsi="Times New Roman" w:cs="Times New Roman"/>
                <w:color w:val="000000"/>
                <w:sz w:val="24"/>
                <w:szCs w:val="24"/>
                <w:lang w:eastAsia="uk-UA"/>
              </w:rPr>
              <w:t>0,8</w:t>
            </w:r>
          </w:p>
        </w:tc>
      </w:tr>
    </w:tbl>
    <w:p w:rsidR="005135FD" w:rsidRPr="00113A25" w:rsidRDefault="005135FD" w:rsidP="00926BA7">
      <w:pPr>
        <w:pStyle w:val="11"/>
      </w:pPr>
    </w:p>
    <w:p w:rsidR="00926BA7" w:rsidRPr="00113A25" w:rsidRDefault="00926BA7" w:rsidP="00926BA7">
      <w:pPr>
        <w:pStyle w:val="11"/>
      </w:pPr>
      <w:r w:rsidRPr="00113A25">
        <w:t xml:space="preserve"> Низька частка цього показника</w:t>
      </w:r>
      <w:r w:rsidR="001A51CC" w:rsidRPr="00113A25">
        <w:t xml:space="preserve"> в 2019-2023 рр.</w:t>
      </w:r>
      <w:r w:rsidR="00B83912" w:rsidRPr="00113A25">
        <w:t xml:space="preserve"> (від 1% до 1,8%)</w:t>
      </w:r>
      <w:r w:rsidRPr="00113A25">
        <w:t xml:space="preserve"> може вказувати на недостатній рівень надходження рентних доходів до бюджету домогосподарств, особливо в сільських регіонах.  </w:t>
      </w:r>
    </w:p>
    <w:p w:rsidR="00926BA7" w:rsidRPr="00113A25" w:rsidRDefault="001A51CC" w:rsidP="00926BA7">
      <w:pPr>
        <w:pStyle w:val="11"/>
      </w:pPr>
      <w:r w:rsidRPr="00113A25">
        <w:rPr>
          <w:noProof/>
        </w:rPr>
        <w:drawing>
          <wp:inline distT="0" distB="0" distL="0" distR="0" wp14:anchorId="5680ECCF" wp14:editId="2B099738">
            <wp:extent cx="5419725" cy="31877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A51CC" w:rsidRPr="00113A25" w:rsidRDefault="001A51CC" w:rsidP="001A51CC">
      <w:pPr>
        <w:pStyle w:val="11"/>
      </w:pPr>
      <w:r w:rsidRPr="00113A25">
        <w:t>Рисунок 2.2 – Динаміка рентної плати в структурі доходів домогосподарств  в Україні в 2019</w:t>
      </w:r>
      <w:r w:rsidR="00B83912" w:rsidRPr="00113A25">
        <w:t>2023</w:t>
      </w:r>
      <w:r w:rsidRPr="00113A25">
        <w:t xml:space="preserve"> рр., </w:t>
      </w:r>
      <w:r w:rsidR="00B83912" w:rsidRPr="00113A25">
        <w:t>%</w:t>
      </w:r>
    </w:p>
    <w:p w:rsidR="001A51CC" w:rsidRPr="00113A25" w:rsidRDefault="001A51CC" w:rsidP="001A51CC">
      <w:pPr>
        <w:pStyle w:val="11"/>
      </w:pPr>
    </w:p>
    <w:p w:rsidR="00926BA7" w:rsidRPr="00113A25" w:rsidRDefault="00926BA7" w:rsidP="00926BA7">
      <w:pPr>
        <w:pStyle w:val="11"/>
      </w:pPr>
      <w:r w:rsidRPr="00113A25">
        <w:lastRenderedPageBreak/>
        <w:t xml:space="preserve">Іншим показником є рівень безробіття в аграрних регіонах, що дозволяє оцінити соціально-економічний стан населення у місцевостях із високим потенціалом отримання земельної ренти. Якщо за значного природного ресурсу частка бідного населення залишається високою, це свідчить про неефективність системи перерозподілу ренти.  </w:t>
      </w:r>
    </w:p>
    <w:p w:rsidR="00627637" w:rsidRDefault="005316B6" w:rsidP="005316B6">
      <w:pPr>
        <w:pStyle w:val="11"/>
      </w:pPr>
      <w:r w:rsidRPr="00113A25">
        <w:t xml:space="preserve">Затяжна війна викликає значні зміни в економічній системі України, зокрема на ринку праці. Ринок праці, що зазнав суттєвих структурних та географічних змін в умовах </w:t>
      </w:r>
      <w:r w:rsidR="00627637">
        <w:t>повномасштабної війни</w:t>
      </w:r>
      <w:r w:rsidRPr="00113A25">
        <w:t xml:space="preserve">, поступово відновлюється, адаптуючись до нових викликів та вимог. </w:t>
      </w:r>
    </w:p>
    <w:p w:rsidR="00627637" w:rsidRDefault="005316B6" w:rsidP="005316B6">
      <w:pPr>
        <w:pStyle w:val="11"/>
      </w:pPr>
      <w:r w:rsidRPr="00113A25">
        <w:t>Водночас, бойові дії, структурні зміни в економіці, мобілізація та масове переміщення населення спричиняють поглиблення проблем у сфері зайнятості. Згідно з даними Національного банку України (НБУ), чисельність робочої сили у віковій групі 15–70 років на початок 2024 року скоротилася більш ніж на чверть порівняно з 2021 роком[</w:t>
      </w:r>
      <w:r w:rsidR="00113A25" w:rsidRPr="00113A25">
        <w:rPr>
          <w:rStyle w:val="ad"/>
        </w:rPr>
        <w:endnoteReference w:id="33"/>
      </w:r>
      <w:r w:rsidR="00113A25" w:rsidRPr="00113A25">
        <w:t>].</w:t>
      </w:r>
    </w:p>
    <w:p w:rsidR="00113A25" w:rsidRPr="00113A25" w:rsidRDefault="00113A25" w:rsidP="005316B6">
      <w:pPr>
        <w:pStyle w:val="11"/>
      </w:pPr>
      <w:r w:rsidRPr="00113A25">
        <w:t xml:space="preserve"> Майже половина цього зменшення зумовлена зовнішньою міграцією, зокрема через відсутність можливості дистанційної роботи для частини мігрантів. За оцінками НБУ, близько 40% від загального скорочення робочої сили відбулося через демографічні втрати, окупацію територій, а також перехід значної частини населення в економічно неактивний стан через труднощі з працевлаштуванням внутрішньо переміщених осіб, необхідність догляду за родичами, збільшення чисельності пенсіонерів та інші фактори.</w:t>
      </w:r>
    </w:p>
    <w:p w:rsidR="00113A25" w:rsidRPr="00113A25" w:rsidRDefault="00113A25" w:rsidP="005316B6">
      <w:pPr>
        <w:pStyle w:val="11"/>
      </w:pPr>
      <w:r w:rsidRPr="00113A25">
        <w:t xml:space="preserve">З початку 2024 року, паралельно з відновленням економіки, спостерігається збільшення кількості вакантних робочих місць, однак активність шукачів роботи не відповідає цьому зростанню. Дані з сайту Work.ua показують, що в першому півріччі 2024 року кількість вакансій зросла на 19 тис., однак кількість оновлених або створених резюме в червні 2024 року була майже на 47 тис. менша порівняно з початком року, що вказує на знижену активність серед шукачів роботи. Цей факт також підтверджується низьким рівнем конкуренції за вакансії, що досяг найнижчого рівня за останні три роки, ускладнюючи ситуацію для роботодавців. За результатами досліджень </w:t>
      </w:r>
      <w:r w:rsidRPr="00113A25">
        <w:lastRenderedPageBreak/>
        <w:t>Європейської бізнесової асоціації, в 2023 році 74% роботодавців відзначили наявність дефіциту кадрів, а лише 7% не відчували цієї проблеми. Проблеми, зокрема, зумовлені значною міграцією українців за кордон, мобілізацією до ЗСУ, а також поглибленням професійних, секторальних і територіальних диспропорцій на ринку праці. Міністерство економіки України оцінює дефіцит кадрів на ринку праці на рівні майже 30% [</w:t>
      </w:r>
      <w:r w:rsidRPr="00113A25">
        <w:rPr>
          <w:rStyle w:val="ad"/>
        </w:rPr>
        <w:endnoteReference w:id="34"/>
      </w:r>
      <w:r w:rsidRPr="00113A25">
        <w:t>].</w:t>
      </w:r>
    </w:p>
    <w:p w:rsidR="00113A25" w:rsidRPr="00113A25" w:rsidRDefault="00113A25" w:rsidP="005316B6">
      <w:pPr>
        <w:pStyle w:val="11"/>
      </w:pPr>
      <w:r w:rsidRPr="00113A25">
        <w:t>На тлі посилення проблеми дефіциту робочої сили, ринок праці України продовжує демонструвати високі показники безробіття, зокрема структурного, що зумовлені значними географічними та структурними змінами на ринку праці, а також недостатнім рівнем адаптації робочої сили до нових умов. За даними дослідницької агенції "</w:t>
      </w:r>
      <w:proofErr w:type="spellStart"/>
      <w:r w:rsidRPr="00113A25">
        <w:t>Info</w:t>
      </w:r>
      <w:proofErr w:type="spellEnd"/>
      <w:r w:rsidRPr="00113A25">
        <w:t xml:space="preserve"> </w:t>
      </w:r>
      <w:proofErr w:type="spellStart"/>
      <w:r w:rsidRPr="00113A25">
        <w:t>Sapiens</w:t>
      </w:r>
      <w:proofErr w:type="spellEnd"/>
      <w:r w:rsidRPr="00113A25">
        <w:t>", рівень безробіття в першому півріччі 2024 року коливався в межах 13,1% до 20,9%. Хоча у червні було зафіксовано найнижчий рівень безробіття з початку війни - 13,1%, ця ситуація не є стійкою, і загальна тенденція до зниження безробіття поки що відсутня.</w:t>
      </w:r>
    </w:p>
    <w:p w:rsidR="00113A25" w:rsidRPr="00113A25" w:rsidRDefault="00113A25" w:rsidP="005316B6">
      <w:pPr>
        <w:pStyle w:val="11"/>
      </w:pPr>
      <w:r>
        <w:rPr>
          <w:noProof/>
        </w:rPr>
        <w:drawing>
          <wp:inline distT="0" distB="0" distL="0" distR="0" wp14:anchorId="29FB06E7" wp14:editId="1E44914E">
            <wp:extent cx="5283200" cy="3708400"/>
            <wp:effectExtent l="0" t="0" r="0" b="635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13A25" w:rsidRPr="00D6536B" w:rsidRDefault="00113A25" w:rsidP="00113A25">
      <w:pPr>
        <w:pStyle w:val="11"/>
        <w:rPr>
          <w:lang w:val="ru-RU"/>
        </w:rPr>
      </w:pPr>
      <w:r w:rsidRPr="00113A25">
        <w:t xml:space="preserve">Рисунок 2.3 – Динаміка зареєстрованих безробітних в Україні в 20192023 рр., </w:t>
      </w:r>
      <w:r>
        <w:t xml:space="preserve">тис. осіб </w:t>
      </w:r>
      <w:r w:rsidRPr="00D6536B">
        <w:rPr>
          <w:lang w:val="ru-RU"/>
        </w:rPr>
        <w:t>[</w:t>
      </w:r>
      <w:r>
        <w:rPr>
          <w:rStyle w:val="ad"/>
          <w:lang w:val="en-US"/>
        </w:rPr>
        <w:endnoteReference w:id="35"/>
      </w:r>
      <w:r w:rsidRPr="00D6536B">
        <w:rPr>
          <w:lang w:val="ru-RU"/>
        </w:rPr>
        <w:t>]</w:t>
      </w:r>
    </w:p>
    <w:p w:rsidR="00113A25" w:rsidRPr="00113A25" w:rsidRDefault="00113A25" w:rsidP="005316B6">
      <w:pPr>
        <w:pStyle w:val="11"/>
      </w:pPr>
      <w:r w:rsidRPr="00113A25">
        <w:lastRenderedPageBreak/>
        <w:t>Згідно з офіційними даними Державної служби зайнятості, у першому півріччі 2024 року статус безробітного мали 254,6 тис. осіб, з яких близько 50% були працевлаштовані. Понад 4% зареєстрованих безробітних отримали ваучери на навчання, а майже 9% - проходили професійне перенавчання[</w:t>
      </w:r>
      <w:r w:rsidRPr="00113A25">
        <w:rPr>
          <w:rStyle w:val="ad"/>
        </w:rPr>
        <w:endnoteReference w:id="36"/>
      </w:r>
      <w:r w:rsidRPr="00113A25">
        <w:t>]. Однак ця статистика не відображає повної картини ситуації, оскільки не враховує осіб, які перебувають на тимчасово окупованих територіях, внутрішніх і зовнішніх вимушених мігрантів, а також осіб, які перебувають у неоплачуваних відпустках або не зареєстровані в Державній службі зайнятості з різних причин, таких як ухилення від мобілізації чи відсутність мотивації до праці.</w:t>
      </w:r>
    </w:p>
    <w:p w:rsidR="00113A25" w:rsidRPr="00113A25" w:rsidRDefault="00113A25" w:rsidP="005316B6">
      <w:pPr>
        <w:pStyle w:val="11"/>
      </w:pPr>
      <w:r w:rsidRPr="00113A25">
        <w:t>Аналіз ефективної реакції на ці виклики є критично важливим для забезпечення життєздатності національної економіки та її відновлення, оскільки недостатня економічна активність працездатного населення може суттєво ускладнити подальше стабільне функціонування ринку праці в умовах нестачі робочих ресурсів.</w:t>
      </w:r>
    </w:p>
    <w:p w:rsidR="00627637" w:rsidRDefault="00113A25" w:rsidP="00926BA7">
      <w:pPr>
        <w:pStyle w:val="11"/>
      </w:pPr>
      <w:r w:rsidRPr="00113A25">
        <w:t>Індекс людського розвитку (ІЛР) дозволяє оцінити вплив рентних доходів на якість життя, рівень освіти та доходів. Відсутність позитивної динаміки цього індексу може вказувати на нераціональне використання рентних доходів.  Індекс розвитку людського потенціалу (</w:t>
      </w:r>
      <w:proofErr w:type="spellStart"/>
      <w:r w:rsidRPr="00113A25">
        <w:t>Human</w:t>
      </w:r>
      <w:proofErr w:type="spellEnd"/>
      <w:r w:rsidRPr="00113A25">
        <w:t xml:space="preserve"> </w:t>
      </w:r>
      <w:proofErr w:type="spellStart"/>
      <w:r w:rsidRPr="00113A25">
        <w:t>Development</w:t>
      </w:r>
      <w:proofErr w:type="spellEnd"/>
      <w:r w:rsidRPr="00113A25">
        <w:t xml:space="preserve"> </w:t>
      </w:r>
      <w:proofErr w:type="spellStart"/>
      <w:r w:rsidRPr="00113A25">
        <w:t>Index</w:t>
      </w:r>
      <w:proofErr w:type="spellEnd"/>
      <w:r w:rsidRPr="00113A25">
        <w:t xml:space="preserve">, HDI або ІЛР) є спеціальним інтегральним показником, який щорічно розраховується для порівняння країн і оцінки рівня життя, рівня грамотності, освіченості та тривалості життя як основних складових людського потенціалу. </w:t>
      </w:r>
    </w:p>
    <w:p w:rsidR="00627637" w:rsidRDefault="00113A25" w:rsidP="00926BA7">
      <w:pPr>
        <w:pStyle w:val="11"/>
      </w:pPr>
      <w:r w:rsidRPr="00113A25">
        <w:t>Для аналізу динаміки цього індексу в матеріалі застосовуються категорії, визначені в доповідях ООН, зокрема:</w:t>
      </w:r>
    </w:p>
    <w:p w:rsidR="00627637" w:rsidRDefault="00113A25" w:rsidP="00627637">
      <w:pPr>
        <w:pStyle w:val="11"/>
        <w:numPr>
          <w:ilvl w:val="0"/>
          <w:numId w:val="5"/>
        </w:numPr>
      </w:pPr>
      <w:r w:rsidRPr="00113A25">
        <w:t>низький індекс (менше 0,</w:t>
      </w:r>
      <w:r w:rsidR="00627637">
        <w:t>550);</w:t>
      </w:r>
    </w:p>
    <w:p w:rsidR="00627637" w:rsidRDefault="00627637" w:rsidP="00627637">
      <w:pPr>
        <w:pStyle w:val="11"/>
        <w:numPr>
          <w:ilvl w:val="0"/>
          <w:numId w:val="5"/>
        </w:numPr>
      </w:pPr>
      <w:r>
        <w:t>середній (від 0,550 до 0,699);</w:t>
      </w:r>
    </w:p>
    <w:p w:rsidR="00627637" w:rsidRDefault="00627637" w:rsidP="00627637">
      <w:pPr>
        <w:pStyle w:val="11"/>
        <w:numPr>
          <w:ilvl w:val="0"/>
          <w:numId w:val="5"/>
        </w:numPr>
      </w:pPr>
      <w:r>
        <w:t>високий (від 0,700 до 0,799);</w:t>
      </w:r>
    </w:p>
    <w:p w:rsidR="00113A25" w:rsidRPr="00113A25" w:rsidRDefault="00113A25" w:rsidP="00627637">
      <w:pPr>
        <w:pStyle w:val="11"/>
        <w:numPr>
          <w:ilvl w:val="0"/>
          <w:numId w:val="5"/>
        </w:numPr>
      </w:pPr>
      <w:r w:rsidRPr="00113A25">
        <w:t>дуже високий (≥ 0,800).</w:t>
      </w:r>
    </w:p>
    <w:p w:rsidR="00113A25" w:rsidRPr="00113A25" w:rsidRDefault="00113A25" w:rsidP="00926BA7">
      <w:pPr>
        <w:pStyle w:val="11"/>
      </w:pPr>
      <w:r w:rsidRPr="00113A25">
        <w:rPr>
          <w:noProof/>
        </w:rPr>
        <w:lastRenderedPageBreak/>
        <w:drawing>
          <wp:inline distT="0" distB="0" distL="0" distR="0" wp14:anchorId="47871874" wp14:editId="24C2000C">
            <wp:extent cx="5203190" cy="3898900"/>
            <wp:effectExtent l="0" t="0" r="0" b="63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914AA" w:rsidRPr="00113A25" w:rsidRDefault="00113A25" w:rsidP="00627637">
      <w:pPr>
        <w:pStyle w:val="11"/>
      </w:pPr>
      <w:r w:rsidRPr="00113A25">
        <w:t>Рисунок</w:t>
      </w:r>
      <w:r w:rsidR="00627637">
        <w:t xml:space="preserve"> 2.4 </w:t>
      </w:r>
      <w:r w:rsidRPr="00113A25">
        <w:t>– Динаміка Індексу розвитку людського потенціалу України в 2019-2022 рр. [</w:t>
      </w:r>
      <w:r w:rsidRPr="00113A25">
        <w:rPr>
          <w:rStyle w:val="ad"/>
        </w:rPr>
        <w:endnoteReference w:id="37"/>
      </w:r>
      <w:r w:rsidRPr="00113A25">
        <w:t>]</w:t>
      </w:r>
    </w:p>
    <w:p w:rsidR="00926BA7" w:rsidRPr="00113A25" w:rsidRDefault="00926BA7" w:rsidP="00926BA7">
      <w:pPr>
        <w:pStyle w:val="11"/>
      </w:pPr>
    </w:p>
    <w:p w:rsidR="001914AA" w:rsidRPr="00113A25" w:rsidRDefault="001914AA" w:rsidP="001914AA">
      <w:pPr>
        <w:pStyle w:val="11"/>
      </w:pPr>
      <w:r w:rsidRPr="00113A25">
        <w:t>Індекс людського розвитку (ІЛР) є узагальненим показником, який оцінює середні досягнення в трьох основних аспектах людського розвитку: тривалість та якість життя, доступ до освіти та гідний рівень життя. У період з 2019 по 2022 рік значення ІЛР України зменшилося з 0,774 до 0,734. Однак поточні значення ІЛР в основному відображають негативний вплив пандемії COVID-19 на людський розвиток в Україні, оскільки доступ до найновіших даних залишається обмеженим.</w:t>
      </w:r>
    </w:p>
    <w:p w:rsidR="001914AA" w:rsidRPr="00113A25" w:rsidRDefault="001914AA" w:rsidP="001914AA">
      <w:pPr>
        <w:pStyle w:val="11"/>
      </w:pPr>
      <w:r w:rsidRPr="00113A25">
        <w:t xml:space="preserve">Індекс гендерної нерівності (ІГН) для України становить 0,188, що розміщує країну на 48-му місці серед 166 країн світу. Цей індекс вимірює гендерну нерівність за трьома основними критеріями: репродуктивне здоров'я, розширення прав і можливостей, а також участь у ринку праці. Значення ІЛР для жінок в Україні становить 0,741, у той час як для чоловіків – 0,726, що призводить до значення індексу гендерного розвитку (ІГР) 1,021 (ІЛР для жінок, поділений на ІЛР для чоловіків). ІГР вимірює гендерний розрив у </w:t>
      </w:r>
      <w:r w:rsidRPr="00113A25">
        <w:lastRenderedPageBreak/>
        <w:t>досягненнях за трьома основними критеріями людського розвитку: здоров’я, освіта та рівень життя, що оцінюється через Валовий національний дохід (ВНД) на душу населення для жінок та чоловіків. У період з 1990 по 2022 рік ВНД на особу в Україні знизився на 32,1%. З урахуванням соціально-економічної нерівності ІЛР України складає 0,676, що означає «втрату» у розвитку через нерівність на рівні 7,9%. Зі збільшенням нерівності в країні зростають також втрати в людському розвитку.</w:t>
      </w:r>
    </w:p>
    <w:p w:rsidR="000C60E3" w:rsidRPr="00113A25" w:rsidRDefault="00926BA7" w:rsidP="00926BA7">
      <w:pPr>
        <w:pStyle w:val="11"/>
      </w:pPr>
      <w:r w:rsidRPr="00113A25">
        <w:t>Таким чином, взаємозв’язок між земельною рентою та рівнем соціальної нерівності проявляється у комплексному впливі рентних доходів на розподіл ресурсів та добробут населення. Ефективне використання цих доходів може стати важливим інструментом для зменшення нерівності та забезпечення соціальної справедливості в Україні.</w:t>
      </w:r>
    </w:p>
    <w:p w:rsidR="000C60E3" w:rsidRPr="00113A25" w:rsidRDefault="000C60E3" w:rsidP="000C60E3">
      <w:pPr>
        <w:spacing w:after="0" w:line="360" w:lineRule="auto"/>
        <w:ind w:firstLine="709"/>
        <w:jc w:val="both"/>
        <w:rPr>
          <w:rFonts w:ascii="Times New Roman" w:hAnsi="Times New Roman" w:cs="Times New Roman"/>
          <w:sz w:val="28"/>
          <w:szCs w:val="28"/>
        </w:rPr>
      </w:pPr>
    </w:p>
    <w:p w:rsidR="000C60E3" w:rsidRPr="00113A25" w:rsidRDefault="000C60E3" w:rsidP="000C60E3">
      <w:pPr>
        <w:spacing w:after="0" w:line="360" w:lineRule="auto"/>
        <w:ind w:firstLine="709"/>
        <w:jc w:val="both"/>
        <w:rPr>
          <w:rFonts w:ascii="Times New Roman" w:hAnsi="Times New Roman" w:cs="Times New Roman"/>
          <w:sz w:val="28"/>
          <w:szCs w:val="28"/>
        </w:rPr>
      </w:pPr>
    </w:p>
    <w:p w:rsidR="000C60E3" w:rsidRPr="00113A25" w:rsidRDefault="000C60E3" w:rsidP="000C60E3">
      <w:pPr>
        <w:pStyle w:val="1"/>
        <w:spacing w:before="0" w:line="360" w:lineRule="auto"/>
        <w:ind w:firstLine="709"/>
        <w:jc w:val="both"/>
        <w:rPr>
          <w:rFonts w:ascii="Times New Roman" w:hAnsi="Times New Roman" w:cs="Times New Roman"/>
          <w:b/>
          <w:color w:val="auto"/>
          <w:sz w:val="28"/>
          <w:szCs w:val="28"/>
        </w:rPr>
      </w:pPr>
      <w:bookmarkStart w:id="25" w:name="_Toc187523566"/>
      <w:r w:rsidRPr="00113A25">
        <w:rPr>
          <w:rFonts w:ascii="Times New Roman" w:hAnsi="Times New Roman" w:cs="Times New Roman"/>
          <w:b/>
          <w:color w:val="auto"/>
          <w:sz w:val="28"/>
          <w:szCs w:val="28"/>
        </w:rPr>
        <w:t>2.2. Системи перерозподілу ренти для підвищення соціальної справедливості</w:t>
      </w:r>
      <w:bookmarkEnd w:id="25"/>
      <w:r w:rsidRPr="00113A25">
        <w:rPr>
          <w:rFonts w:ascii="Times New Roman" w:hAnsi="Times New Roman" w:cs="Times New Roman"/>
          <w:b/>
          <w:color w:val="auto"/>
          <w:sz w:val="28"/>
          <w:szCs w:val="28"/>
        </w:rPr>
        <w:t xml:space="preserve">  </w:t>
      </w:r>
    </w:p>
    <w:p w:rsidR="000C60E3" w:rsidRPr="00113A25" w:rsidRDefault="000C60E3" w:rsidP="000C60E3">
      <w:pPr>
        <w:spacing w:after="0" w:line="360" w:lineRule="auto"/>
        <w:ind w:firstLine="709"/>
        <w:jc w:val="both"/>
        <w:rPr>
          <w:rFonts w:ascii="Times New Roman" w:hAnsi="Times New Roman" w:cs="Times New Roman"/>
          <w:sz w:val="28"/>
          <w:szCs w:val="28"/>
        </w:rPr>
      </w:pPr>
    </w:p>
    <w:p w:rsidR="00485B41" w:rsidRPr="00113A25" w:rsidRDefault="00485B41" w:rsidP="00485B41">
      <w:pPr>
        <w:pStyle w:val="11"/>
      </w:pPr>
      <w:r w:rsidRPr="00113A25">
        <w:t xml:space="preserve">Системи перерозподілу земельної ренти займають важливе місце в контексті підвищення соціальної справедливості, оскільки вони сприяють рівномірному розподілу економічних </w:t>
      </w:r>
      <w:proofErr w:type="spellStart"/>
      <w:r w:rsidRPr="00113A25">
        <w:t>вигод</w:t>
      </w:r>
      <w:proofErr w:type="spellEnd"/>
      <w:r w:rsidRPr="00113A25">
        <w:t>, що генеруються через використання природних ресурсів. Вони можуть реалізовуватися як на національному, так і на місцевому рівнях, включаючи різноманітні інструменти, зокрема податкові механізми, соціальні виплати, а також інвестиції в розвиток соціальної інфраструктури.</w:t>
      </w:r>
    </w:p>
    <w:p w:rsidR="00485B41" w:rsidRPr="00113A25" w:rsidRDefault="00485B41" w:rsidP="00485B41">
      <w:pPr>
        <w:pStyle w:val="11"/>
      </w:pPr>
      <w:r w:rsidRPr="00113A25">
        <w:t xml:space="preserve">Одним із таких інструментів є прогресивне оподаткування земельної ренти, яке передбачає підвищення ставок податку на рентні доходи для великих землевласників та аграрних підприємств. Це дає змогу акумулювати додаткові ресурси для фінансування соціальних програм, розвитку інфраструктури та покращення життєвих умов соціально вразливих груп населення. Однак важливо, щоб ці податкові інструменти були чітко </w:t>
      </w:r>
      <w:r w:rsidRPr="00113A25">
        <w:lastRenderedPageBreak/>
        <w:t>регламентовані і прозорі, що дозволить уникнути зловживань і забезпечить ефективність механізмів перерозподілу.</w:t>
      </w:r>
    </w:p>
    <w:p w:rsidR="00485B41" w:rsidRPr="00113A25" w:rsidRDefault="00485B41" w:rsidP="00485B41">
      <w:pPr>
        <w:pStyle w:val="11"/>
      </w:pPr>
      <w:r w:rsidRPr="00113A25">
        <w:t>Інші моделі передбачають використання частини рентних доходів для безпосередньої допомоги найбіднішим громадам, зокрема через субсидії на житло або пільгові кредити для фермерів та малих підприємств. Окрім того, важливою є стимуляція інвестицій у сільські райони, зокрема через підтримку місцевих підприємств і створення нових робочих місць, що сприяє підвищенню рівня життя та зменшенню соціальної нерівності.</w:t>
      </w:r>
    </w:p>
    <w:p w:rsidR="00485B41" w:rsidRPr="00113A25" w:rsidRDefault="00485B41" w:rsidP="00485B41">
      <w:pPr>
        <w:pStyle w:val="11"/>
      </w:pPr>
      <w:r w:rsidRPr="00113A25">
        <w:t>Такі підходи стимулюють розвиток більш інклюзивної економіки, де природні ресурси використовуються не лише для збагачення окремих еліт, а й на благо широких верств населення, що є особливо важливим в умовах, коли природні багатства країни складають суттєву частину національного доходу.</w:t>
      </w:r>
    </w:p>
    <w:p w:rsidR="000C60E3" w:rsidRPr="00113A25" w:rsidRDefault="000C60E3" w:rsidP="0076005D">
      <w:pPr>
        <w:pStyle w:val="11"/>
      </w:pPr>
      <w:r w:rsidRPr="00113A25">
        <w:t>В умовах війни в Україні питання ефективного використання та справедливого перерозподілу рентних доходів набуває особливого значення. Рента, отримана від використання природних ресурсів, повинна стати не лише джерелом бюджетних надходжень, але й важелем відновлення постраждалих регіонів та підтримки соціальної рівності.</w:t>
      </w:r>
    </w:p>
    <w:p w:rsidR="000C60E3" w:rsidRPr="00113A25" w:rsidRDefault="000C60E3" w:rsidP="000C60E3">
      <w:pPr>
        <w:pStyle w:val="11"/>
      </w:pPr>
      <w:r w:rsidRPr="00113A25">
        <w:t xml:space="preserve">російська військова агресія проти України, активні бойові дії та тривала окупація окремих територій спричинили значне забруднення ґрунтів, що унеможливлює ведення господарської діяльності на цих землях упродовж багатьох років після завершення війни. Для комплексного аналізу ресурсного потенціалу та визначення перспектив розвитку аграрного сектору економіки України важливим є оцінювання наслідків війни, зокрема ідентифікація площ земель, що стали непридатними для використання через військові дії. До таких земель належать території, які перебували під окупацією до 24 лютого 2022 року, регіони переміщення військових після зазначеної дати, а також землі, що опинилися під тимчасовою окупацією чи були </w:t>
      </w:r>
      <w:proofErr w:type="spellStart"/>
      <w:r w:rsidRPr="00113A25">
        <w:t>деокуповані</w:t>
      </w:r>
      <w:proofErr w:type="spellEnd"/>
      <w:r w:rsidRPr="00113A25">
        <w:t xml:space="preserve"> в результаті повномасштабного вторгнення, і території, забруднені внаслідок мінування.</w:t>
      </w:r>
    </w:p>
    <w:p w:rsidR="000C60E3" w:rsidRPr="00113A25" w:rsidRDefault="000C60E3" w:rsidP="000C60E3">
      <w:pPr>
        <w:pStyle w:val="11"/>
      </w:pPr>
      <w:r w:rsidRPr="00113A25">
        <w:t xml:space="preserve">Згідно з дослідженнями Світового банку, Уряду України, Європейської Комісії та ООН, у 2022 році найбільший рівень впливу повномасштабного </w:t>
      </w:r>
      <w:r w:rsidRPr="00113A25">
        <w:lastRenderedPageBreak/>
        <w:t>вторгнення зафіксовано на територіях Луганської (100%), Херсонської (95%), Чернігівської (80%), Запорізької (74%), Сумської (70%) та Донецької (64%) областей (рис. 2</w:t>
      </w:r>
      <w:r w:rsidR="0051471E" w:rsidRPr="00D6536B">
        <w:t>.5</w:t>
      </w:r>
      <w:r w:rsidRPr="00113A25">
        <w:t>). Ці дані є ключовими для оцінки масштабів пошкоджень і визначення пріоритетних заходів з відновлення та реабілітації сільськогосподарських угідь.</w:t>
      </w:r>
    </w:p>
    <w:p w:rsidR="000C60E3" w:rsidRPr="00113A25" w:rsidRDefault="000C60E3" w:rsidP="000C60E3">
      <w:pPr>
        <w:pStyle w:val="11"/>
        <w:ind w:firstLine="0"/>
      </w:pPr>
      <w:r w:rsidRPr="00113A25">
        <w:rPr>
          <w:noProof/>
        </w:rPr>
        <w:drawing>
          <wp:inline distT="0" distB="0" distL="0" distR="0" wp14:anchorId="41888109" wp14:editId="2CCB0459">
            <wp:extent cx="5660571" cy="366638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667186" cy="3670671"/>
                    </a:xfrm>
                    <a:prstGeom prst="rect">
                      <a:avLst/>
                    </a:prstGeom>
                    <a:noFill/>
                    <a:ln>
                      <a:noFill/>
                    </a:ln>
                  </pic:spPr>
                </pic:pic>
              </a:graphicData>
            </a:graphic>
          </wp:inline>
        </w:drawing>
      </w:r>
    </w:p>
    <w:p w:rsidR="0051471E" w:rsidRPr="00D6536B" w:rsidRDefault="000C60E3" w:rsidP="000C60E3">
      <w:pPr>
        <w:pStyle w:val="11"/>
        <w:rPr>
          <w:lang w:val="ru-RU"/>
        </w:rPr>
      </w:pPr>
      <w:r w:rsidRPr="00113A25">
        <w:t>Рисунок 2.</w:t>
      </w:r>
      <w:r w:rsidR="00627637">
        <w:t>5</w:t>
      </w:r>
      <w:r w:rsidRPr="00113A25">
        <w:t xml:space="preserve"> - Недоступні землі, як наслідок військової агресії </w:t>
      </w:r>
      <w:proofErr w:type="spellStart"/>
      <w:r w:rsidRPr="00113A25">
        <w:t>рф</w:t>
      </w:r>
      <w:proofErr w:type="spellEnd"/>
      <w:r w:rsidRPr="00113A25">
        <w:t>, у розрізі областей, станом на почато</w:t>
      </w:r>
      <w:r w:rsidR="00627637">
        <w:t>к 2023 року</w:t>
      </w:r>
      <w:r w:rsidR="00627637" w:rsidRPr="00D6536B">
        <w:rPr>
          <w:lang w:val="ru-RU"/>
        </w:rPr>
        <w:t xml:space="preserve"> [</w:t>
      </w:r>
      <w:r w:rsidR="0051471E">
        <w:rPr>
          <w:rStyle w:val="ad"/>
          <w:lang w:val="en-US"/>
        </w:rPr>
        <w:endnoteReference w:id="38"/>
      </w:r>
      <w:r w:rsidR="0051471E" w:rsidRPr="00D6536B">
        <w:rPr>
          <w:lang w:val="ru-RU"/>
        </w:rPr>
        <w:t>]</w:t>
      </w:r>
    </w:p>
    <w:p w:rsidR="0051471E" w:rsidRPr="00113A25" w:rsidRDefault="0051471E" w:rsidP="000C60E3">
      <w:pPr>
        <w:pStyle w:val="11"/>
        <w:jc w:val="center"/>
      </w:pPr>
    </w:p>
    <w:p w:rsidR="0051471E" w:rsidRPr="00113A25" w:rsidRDefault="0051471E" w:rsidP="000C60E3">
      <w:pPr>
        <w:pStyle w:val="11"/>
      </w:pPr>
      <w:r w:rsidRPr="00113A25">
        <w:t>Загальна площа території України, що зазнала негативного впливу внаслідок окупації, мінування та активних бойових дій, склала 31,74% від загальної площі країни (таблиця 2, додаток).</w:t>
      </w:r>
    </w:p>
    <w:p w:rsidR="0051471E" w:rsidRPr="00113A25" w:rsidRDefault="0051471E" w:rsidP="000C60E3">
      <w:pPr>
        <w:pStyle w:val="11"/>
      </w:pPr>
      <w:r w:rsidRPr="00113A25">
        <w:t>У 2022 році площа постраждалих сільськогосподарських угідь досягла 10 514,13 тис. га, тоді як площа земель, придатних для ведення сільськогосподарської діяльності, становила 32 924,00 тис. га, що на 26,04% менше порівняно з показниками до початку повномасштабного вторгнення. Площа ріллі та перелогів, які залишилися незмінними внаслідок військової агресії, становила 22 280,45 тис. га, що на 31,93% менше за довоєнний рівень.</w:t>
      </w:r>
    </w:p>
    <w:p w:rsidR="0051471E" w:rsidRPr="00113A25" w:rsidRDefault="0051471E" w:rsidP="000C60E3">
      <w:pPr>
        <w:pStyle w:val="11"/>
      </w:pPr>
      <w:r w:rsidRPr="00113A25">
        <w:lastRenderedPageBreak/>
        <w:t>Сіножаті та пасовища зазнали ще більшого скорочення – на 43,45%, що значною мірою пов’язано з тим, що значна частка цих земель була сконцентрована в регіонах, які найбільше постраждали від бойових дій. Частка таких земель становила від 17,5% у Чернігівській області до 21,88% у Луганській області.</w:t>
      </w:r>
    </w:p>
    <w:p w:rsidR="0051471E" w:rsidRPr="00113A25" w:rsidRDefault="0051471E" w:rsidP="000C60E3">
      <w:pPr>
        <w:pStyle w:val="11"/>
      </w:pPr>
      <w:r w:rsidRPr="00113A25">
        <w:t xml:space="preserve">Щодо лісів і </w:t>
      </w:r>
      <w:proofErr w:type="spellStart"/>
      <w:r w:rsidRPr="00113A25">
        <w:t>лісовкритих</w:t>
      </w:r>
      <w:proofErr w:type="spellEnd"/>
      <w:r w:rsidRPr="00113A25">
        <w:t xml:space="preserve"> територій, їх площа зменшилася на 26,05%, скоротившись із 10 686,6 тис. га до 7 903,03 тис. га порівняно з довоєнним періодом. Такі зміни свідчать про суттєві екологічні втрати, які матимуть тривалий вплив на економіку та довкілля країни.</w:t>
      </w:r>
    </w:p>
    <w:p w:rsidR="0051471E" w:rsidRPr="00113A25" w:rsidRDefault="0051471E" w:rsidP="000C60E3">
      <w:pPr>
        <w:pStyle w:val="11"/>
      </w:pPr>
      <w:r w:rsidRPr="00113A25">
        <w:t xml:space="preserve">Завдяки успішним діям Збройних сил України у 2022 році та на початку 2023 року було здійснено </w:t>
      </w:r>
      <w:proofErr w:type="spellStart"/>
      <w:r w:rsidRPr="00113A25">
        <w:t>деокупацію</w:t>
      </w:r>
      <w:proofErr w:type="spellEnd"/>
      <w:r w:rsidRPr="00113A25">
        <w:t xml:space="preserve"> територій Київської, Житомирської та Чернігівської областей. Також повернуто частину земель Миколаївської та Сумської областей, хоча під окупацією залишилося 3% і 15% відповідно.</w:t>
      </w:r>
    </w:p>
    <w:p w:rsidR="0051471E" w:rsidRPr="00113A25" w:rsidRDefault="0051471E" w:rsidP="000C60E3">
      <w:pPr>
        <w:pStyle w:val="11"/>
      </w:pPr>
      <w:r w:rsidRPr="00113A25">
        <w:t>У результаті цих подій у 2023 році загальна площа земельних ресурсів України, за винятком окупованих територій, зон активних бойових дій, прикордонних зон уздовж україно-російського кордону та інших регіонів, де господарська діяльність є неможливою, зросла на 13,58% порівняно з 2022 роком і досягла 46 787,98 тис. га.</w:t>
      </w:r>
    </w:p>
    <w:p w:rsidR="0051471E" w:rsidRDefault="0051471E" w:rsidP="000C60E3">
      <w:pPr>
        <w:pStyle w:val="11"/>
      </w:pPr>
      <w:r w:rsidRPr="00113A25">
        <w:t xml:space="preserve">Зокрема, площа сільськогосподарських угідь збільшилася на 13,19%, що включає зростання площ ріллі та перелогів на 12,31%. Площа лісів і </w:t>
      </w:r>
      <w:proofErr w:type="spellStart"/>
      <w:r w:rsidRPr="00113A25">
        <w:t>лісовкритих</w:t>
      </w:r>
      <w:proofErr w:type="spellEnd"/>
      <w:r w:rsidRPr="00113A25">
        <w:t xml:space="preserve"> територій також зросла, продемонструвавши збільшення на 16,73% (рис. 2</w:t>
      </w:r>
      <w:r w:rsidRPr="00D6536B">
        <w:rPr>
          <w:lang w:val="ru-RU"/>
        </w:rPr>
        <w:t>.6</w:t>
      </w:r>
      <w:r w:rsidRPr="00113A25">
        <w:t>). Ці зміни свідчать про поступове відновлення доступу до земельних ресурсів і створюють потенціал для відновлення господарської діяльності на звільнених територіях.</w:t>
      </w:r>
    </w:p>
    <w:p w:rsidR="0051471E" w:rsidRPr="00113A25" w:rsidRDefault="0051471E" w:rsidP="0051471E">
      <w:pPr>
        <w:pStyle w:val="11"/>
      </w:pPr>
      <w:r w:rsidRPr="00113A25">
        <w:t xml:space="preserve">На початок 2024 року площа територій України, придатних для господарської діяльності, досягла 48 109,77 тис. га, що на 16,78% більше порівняно з 2022 роком і на 2,83% більше відносно 2023 року. Зростання площі відбулося завдяки </w:t>
      </w:r>
      <w:proofErr w:type="spellStart"/>
      <w:r w:rsidRPr="00113A25">
        <w:t>деокупації</w:t>
      </w:r>
      <w:proofErr w:type="spellEnd"/>
      <w:r w:rsidRPr="00113A25">
        <w:t xml:space="preserve"> частини Харківської та Херсонської областей.</w:t>
      </w:r>
    </w:p>
    <w:p w:rsidR="0051471E" w:rsidRPr="00D6536B" w:rsidRDefault="0051471E" w:rsidP="000C60E3">
      <w:pPr>
        <w:pStyle w:val="11"/>
        <w:rPr>
          <w:lang w:val="ru-RU"/>
        </w:rPr>
      </w:pPr>
    </w:p>
    <w:p w:rsidR="0051471E" w:rsidRPr="00113A25" w:rsidRDefault="0051471E" w:rsidP="000C60E3">
      <w:pPr>
        <w:pStyle w:val="11"/>
        <w:ind w:firstLine="0"/>
        <w:jc w:val="center"/>
      </w:pPr>
      <w:r w:rsidRPr="00113A25">
        <w:rPr>
          <w:noProof/>
        </w:rPr>
        <w:lastRenderedPageBreak/>
        <w:drawing>
          <wp:inline distT="0" distB="0" distL="0" distR="0" wp14:anchorId="03728827" wp14:editId="5BDDEE06">
            <wp:extent cx="5932623" cy="315168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BEBA8EAE-BF5A-486C-A8C5-ECC9F3942E4B}">
                          <a14:imgProps xmlns:a14="http://schemas.microsoft.com/office/drawing/2010/main">
                            <a14:imgLayer r:embed="rId30">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34665" cy="3152772"/>
                    </a:xfrm>
                    <a:prstGeom prst="rect">
                      <a:avLst/>
                    </a:prstGeom>
                    <a:noFill/>
                    <a:ln>
                      <a:noFill/>
                    </a:ln>
                  </pic:spPr>
                </pic:pic>
              </a:graphicData>
            </a:graphic>
          </wp:inline>
        </w:drawing>
      </w:r>
    </w:p>
    <w:p w:rsidR="0051471E" w:rsidRPr="00BF54E9" w:rsidRDefault="0051471E" w:rsidP="000C60E3">
      <w:pPr>
        <w:pStyle w:val="11"/>
        <w:rPr>
          <w:lang w:val="ru-RU"/>
        </w:rPr>
      </w:pPr>
      <w:r w:rsidRPr="00113A25">
        <w:t>Рисунок 2.</w:t>
      </w:r>
      <w:r>
        <w:t>6</w:t>
      </w:r>
      <w:r w:rsidRPr="00113A25">
        <w:t xml:space="preserve"> - Динаміка земельних ресурсів України у 2021–2024 рр.</w:t>
      </w:r>
      <w:r w:rsidRPr="00D6536B">
        <w:rPr>
          <w:lang w:val="ru-RU"/>
        </w:rPr>
        <w:t>[</w:t>
      </w:r>
      <w:r>
        <w:rPr>
          <w:rStyle w:val="ad"/>
          <w:lang w:val="en-US"/>
        </w:rPr>
        <w:endnoteReference w:id="39"/>
      </w:r>
      <w:r w:rsidRPr="00BF54E9">
        <w:rPr>
          <w:lang w:val="ru-RU"/>
        </w:rPr>
        <w:t>]</w:t>
      </w:r>
    </w:p>
    <w:p w:rsidR="0051471E" w:rsidRPr="00247684" w:rsidRDefault="0051471E" w:rsidP="00247684">
      <w:pPr>
        <w:pStyle w:val="11"/>
      </w:pPr>
    </w:p>
    <w:p w:rsidR="00247684" w:rsidRPr="00247684" w:rsidRDefault="00247684" w:rsidP="00247684">
      <w:pPr>
        <w:pStyle w:val="11"/>
      </w:pPr>
      <w:r w:rsidRPr="00247684">
        <w:t xml:space="preserve">Значне зростання площ лісових та </w:t>
      </w:r>
      <w:proofErr w:type="spellStart"/>
      <w:r w:rsidRPr="00247684">
        <w:t>лісовкритих</w:t>
      </w:r>
      <w:proofErr w:type="spellEnd"/>
      <w:r w:rsidRPr="00247684">
        <w:t xml:space="preserve"> земель становить 18,53% порівняно з 2022 роком. Площа сільськогосподарських угідь збільшилася на 16,69%, зокрема площа ріллі та перелогів зросла на 15,31%, а сіножатей і пасовищ – на 24,07%. Ці дані свідчать про позитивні зміни в доступності та використанні земельних ресурсів завдяки успішному відновленню контролю над частиною територій.</w:t>
      </w:r>
    </w:p>
    <w:p w:rsidR="00B96DEC" w:rsidRDefault="00247684" w:rsidP="00247684">
      <w:pPr>
        <w:pStyle w:val="11"/>
      </w:pPr>
      <w:r w:rsidRPr="00247684">
        <w:t xml:space="preserve">Процес відновлення ринку земель сільськогосподарського призначення продовжується. Обіг земель у 2023 році зріс на 58%, досягнувши 172,9 тис. га порівняно з 2022 роком. Найвищі показники кількості та площі транзакцій із сільськогосподарськими землями спостерігались у четвертому кварталі 2023 року, коли було укладено 23,8 тис. угод на сумарну площу 53,9 тис. га. </w:t>
      </w:r>
    </w:p>
    <w:p w:rsidR="00247684" w:rsidRPr="00247684" w:rsidRDefault="00B96DEC" w:rsidP="00247684">
      <w:pPr>
        <w:pStyle w:val="11"/>
      </w:pPr>
      <w:r>
        <w:t xml:space="preserve">З </w:t>
      </w:r>
      <w:r w:rsidR="00247684" w:rsidRPr="00247684">
        <w:t xml:space="preserve">моменту відкриття ринку земель було укладено 195,9 тис. угод купівлі-продажу на загальну площу 432,2 тис. га. Таким чином, станом на 1 січня 2024 року в обігу перебувало 1,05% від усіх сільськогосподарських земель України. Середньозважена ціна на сільськогосподарську землю в 2023 році зросла на 8,3%, що перевищило річні темпи інфляції в Україні. Номінальна капіталізація </w:t>
      </w:r>
      <w:r w:rsidR="00247684" w:rsidRPr="00247684">
        <w:lastRenderedPageBreak/>
        <w:t>ринку за результатами минулого року збільшилась на 89,9 млрд грн, а з моменту відкриття ринку земель – на 179 млрд грн.</w:t>
      </w:r>
    </w:p>
    <w:p w:rsidR="00247684" w:rsidRPr="00247684" w:rsidRDefault="00247684" w:rsidP="00247684">
      <w:pPr>
        <w:pStyle w:val="11"/>
      </w:pPr>
      <w:r w:rsidRPr="00247684">
        <w:t xml:space="preserve">Продажі зросли більш ніж у чотири рази у 2023 році – з 402 аукціонів на ділянки загальною площею 3,6 тис. га в першому кварталі до 1677 торгів на ділянки загальною площею 14,5 тис. га в четвертому кварталі. З моменту запуску електронних аукціонів у листопаді 2021 року на платформі </w:t>
      </w:r>
      <w:proofErr w:type="spellStart"/>
      <w:r w:rsidRPr="00247684">
        <w:t>Prozorro</w:t>
      </w:r>
      <w:proofErr w:type="spellEnd"/>
      <w:r w:rsidRPr="00247684">
        <w:t>, через продажі було успішно передано в оренду 5504 земельних ділянки комунальної власності сільськогосподарського призначення на загальну площу 48,7 тис. га, що приносить громадам щорічно 428,5 млн грн доходу.</w:t>
      </w:r>
    </w:p>
    <w:p w:rsidR="00627637" w:rsidRPr="00247684" w:rsidRDefault="00247684" w:rsidP="00247684">
      <w:pPr>
        <w:pStyle w:val="11"/>
      </w:pPr>
      <w:r w:rsidRPr="00247684">
        <w:t xml:space="preserve">Повномасштабне вторгнення </w:t>
      </w:r>
      <w:r w:rsidR="00B96DEC">
        <w:t>р</w:t>
      </w:r>
      <w:r w:rsidRPr="00247684">
        <w:t xml:space="preserve">осії в Україну мало значний негативний вплив на ринок сільськогосподарських земель країни. У 2023 році ринок частково відновився, проте його щоденні обсяги залишалися нижчими за показники, що спостерігались до початку агресії. В другій половині 2023 року середня щоденна кількість угод купівлі-продажу становила 529 га, що на 37% менше порівняно з періодом до лютого 2022 року. За нашими оцінками, внаслідок російського вторгнення було втрачено можливість укласти 120 тис. угод загальною площею 355,5 тис. га. Як результат, збитки ринку </w:t>
      </w:r>
      <w:proofErr w:type="spellStart"/>
      <w:r w:rsidRPr="00247684">
        <w:t>сільгоспземель</w:t>
      </w:r>
      <w:proofErr w:type="spellEnd"/>
      <w:r w:rsidRPr="00247684">
        <w:t xml:space="preserve"> склали приблизно 325 млн </w:t>
      </w:r>
      <w:proofErr w:type="spellStart"/>
      <w:r w:rsidRPr="00247684">
        <w:t>дол</w:t>
      </w:r>
      <w:proofErr w:type="spellEnd"/>
      <w:r w:rsidRPr="00247684">
        <w:t>. США або 12,4 млрд грн.</w:t>
      </w:r>
      <w:r w:rsidR="0051471E" w:rsidRPr="00247684">
        <w:t>[</w:t>
      </w:r>
      <w:r w:rsidR="0051471E" w:rsidRPr="00247684">
        <w:rPr>
          <w:rStyle w:val="ad"/>
          <w:vertAlign w:val="baseline"/>
        </w:rPr>
        <w:endnoteReference w:id="40"/>
      </w:r>
      <w:r w:rsidR="0051471E" w:rsidRPr="00247684">
        <w:t>].</w:t>
      </w:r>
    </w:p>
    <w:p w:rsidR="00B96DEC" w:rsidRDefault="00247684" w:rsidP="00247684">
      <w:pPr>
        <w:pStyle w:val="11"/>
      </w:pPr>
      <w:r w:rsidRPr="00247684">
        <w:t xml:space="preserve">Протягом понад двох років після відкриття ринку сільськогосподарських земель в умовах повномасштабної війни </w:t>
      </w:r>
      <w:r w:rsidR="00B96DEC">
        <w:t>р</w:t>
      </w:r>
      <w:r w:rsidRPr="00247684">
        <w:t xml:space="preserve">осії проти України, вартість земельних ділянок зросла на 10%, що відповідає зростанню вартості потенційної застави на 5,5 млрд </w:t>
      </w:r>
      <w:proofErr w:type="spellStart"/>
      <w:r w:rsidRPr="00247684">
        <w:t>дол</w:t>
      </w:r>
      <w:proofErr w:type="spellEnd"/>
      <w:r w:rsidRPr="00247684">
        <w:t xml:space="preserve">. США. З урахуванням поточного коефіцієнта ліквідності </w:t>
      </w:r>
      <w:proofErr w:type="spellStart"/>
      <w:r w:rsidRPr="00247684">
        <w:t>сільгоспземель</w:t>
      </w:r>
      <w:proofErr w:type="spellEnd"/>
      <w:r w:rsidRPr="00247684">
        <w:t xml:space="preserve"> як застави, що становить 0,35, це збільшення вартості могло б забезпечити власникам землі та агросектору додаткові кредити на суму 1,9 млрд </w:t>
      </w:r>
      <w:proofErr w:type="spellStart"/>
      <w:r w:rsidRPr="00247684">
        <w:t>дол</w:t>
      </w:r>
      <w:proofErr w:type="spellEnd"/>
      <w:r w:rsidRPr="00247684">
        <w:t xml:space="preserve">. США. Для порівняння, на кінець 2023 року обсяг банківського боргу аграрного сектору України становив близько 3,5 млрд </w:t>
      </w:r>
      <w:proofErr w:type="spellStart"/>
      <w:r w:rsidRPr="00247684">
        <w:t>дол</w:t>
      </w:r>
      <w:proofErr w:type="spellEnd"/>
      <w:r w:rsidRPr="00247684">
        <w:t xml:space="preserve">. США. </w:t>
      </w:r>
    </w:p>
    <w:p w:rsidR="00247684" w:rsidRPr="00247684" w:rsidRDefault="00247684" w:rsidP="00247684">
      <w:pPr>
        <w:pStyle w:val="11"/>
      </w:pPr>
      <w:r w:rsidRPr="00247684">
        <w:t xml:space="preserve">Таким чином, активніше використання землі як застави дозволило б значно збільшити обсяги фінансування аграрного сектору та власників земельних ділянок. Завдяки відкриттю ринку землі для юридичних осіб з 1 </w:t>
      </w:r>
      <w:r w:rsidRPr="00247684">
        <w:lastRenderedPageBreak/>
        <w:t xml:space="preserve">січня поточного року, у майбутньому очікується зростання вартості землі на приблизно 40%, що призведе до збільшення капіталізації ринку до майже 50 млрд </w:t>
      </w:r>
      <w:proofErr w:type="spellStart"/>
      <w:r w:rsidRPr="00247684">
        <w:t>дол</w:t>
      </w:r>
      <w:proofErr w:type="spellEnd"/>
      <w:r w:rsidRPr="00247684">
        <w:t xml:space="preserve">. США. Це, у свою чергу, дозволить збільшити обсяг можливого кредитного фінансування до 17,5 млрд </w:t>
      </w:r>
      <w:proofErr w:type="spellStart"/>
      <w:r w:rsidRPr="00247684">
        <w:t>дол</w:t>
      </w:r>
      <w:proofErr w:type="spellEnd"/>
      <w:r w:rsidRPr="00247684">
        <w:t xml:space="preserve">. США, що допоможе перекрити розрив у фінансуванні українського агросектору, який наразі становить близько 21 млрд </w:t>
      </w:r>
      <w:proofErr w:type="spellStart"/>
      <w:r w:rsidRPr="00247684">
        <w:t>дол</w:t>
      </w:r>
      <w:proofErr w:type="spellEnd"/>
      <w:r w:rsidRPr="00247684">
        <w:t>. США. Подальший розвиток ринку та підвищення його прозорості сприятимуть зростанню коефіцієнта ліквідності землі до рівнів, характерних для розвинутих країн (0,6–0,8), що автоматично збільшить обсяг можливого кредитування.</w:t>
      </w:r>
    </w:p>
    <w:p w:rsidR="00247684" w:rsidRPr="00247684" w:rsidRDefault="00247684" w:rsidP="00247684">
      <w:pPr>
        <w:pStyle w:val="11"/>
      </w:pPr>
      <w:r w:rsidRPr="00247684">
        <w:t>Протягом функціонування ринку сільськогосподарських земель загальна сума інвестицій у їх придбання склала 17 млрд грн, з яких 9,5 млрд грн (56%) були інвестовані після початку повномасштабного вторгнення Росії. Станом на грудень 2023 року аграрному сектору було видано банківських кредитів на загальну суму 115,81 млрд грн. З цієї суми 47,5% (54,1 млрд грн) становлять кредити терміном до 1 року, надані для поповнення обігових коштів, тоді як 53,5% (56,7 млрд грн) припадає на кредити терміном понад 1 рік, використані для фінансування капітальних інвестицій, з яких лише 3,7 млрд грн становлять довгострокові кредити терміном понад 5 років. 75% кредитів було видано в національній валюті. Середній обсяг залучених кредитних коштів на гектар сільськогосподарської землі в Україні становить 2792 грн/га, з помітними регіональними варіаціями, зокрема, у Київській (21 153 грн/га), Львівській (5552 грн/га), Тернопільській (5759 грн/га) та Хмельницькій (3198 грн/га) областях. Протягом періоду з березня 2022 по грудень 2023 років близько 10,3% нових кредитів, на суму 357 млн грн, були забезпечені сільськогосподарськими землями, загальна площа яких склала 15,5 тис. га. Порівняно з середніми показниками травня 2023 року, частка сільськогосподарських земель у структурі забезпечення виданих кредитів у другому півріччі 2023 року зросла на 4%.</w:t>
      </w:r>
    </w:p>
    <w:p w:rsidR="0051471E" w:rsidRPr="00247684" w:rsidRDefault="0051471E" w:rsidP="00247684">
      <w:pPr>
        <w:pStyle w:val="11"/>
      </w:pPr>
    </w:p>
    <w:p w:rsidR="000C60E3" w:rsidRPr="00247684" w:rsidRDefault="000C60E3" w:rsidP="00247684">
      <w:pPr>
        <w:pStyle w:val="11"/>
      </w:pPr>
    </w:p>
    <w:p w:rsidR="000C60E3" w:rsidRPr="00113A25" w:rsidRDefault="000C60E3" w:rsidP="000C60E3">
      <w:pPr>
        <w:pStyle w:val="1"/>
        <w:spacing w:before="0" w:line="360" w:lineRule="auto"/>
        <w:ind w:firstLine="709"/>
        <w:jc w:val="both"/>
        <w:rPr>
          <w:rFonts w:ascii="Times New Roman" w:hAnsi="Times New Roman" w:cs="Times New Roman"/>
          <w:b/>
          <w:color w:val="auto"/>
          <w:sz w:val="28"/>
          <w:szCs w:val="28"/>
        </w:rPr>
      </w:pPr>
      <w:bookmarkStart w:id="26" w:name="_Toc187523567"/>
      <w:r w:rsidRPr="00113A25">
        <w:rPr>
          <w:rFonts w:ascii="Times New Roman" w:hAnsi="Times New Roman" w:cs="Times New Roman"/>
          <w:b/>
          <w:color w:val="auto"/>
          <w:sz w:val="28"/>
          <w:szCs w:val="28"/>
        </w:rPr>
        <w:lastRenderedPageBreak/>
        <w:t>2.3. Аналіз ренти (рентних доходів та рентних платежів) в економіці України</w:t>
      </w:r>
      <w:bookmarkEnd w:id="26"/>
    </w:p>
    <w:p w:rsidR="000C60E3" w:rsidRPr="00113A25" w:rsidRDefault="000C60E3" w:rsidP="000C60E3">
      <w:pPr>
        <w:pStyle w:val="11"/>
      </w:pPr>
    </w:p>
    <w:p w:rsidR="000C60E3" w:rsidRPr="00113A25" w:rsidRDefault="000C60E3" w:rsidP="000C60E3">
      <w:pPr>
        <w:pStyle w:val="11"/>
      </w:pPr>
      <w:r w:rsidRPr="00113A25">
        <w:t>Рентні доходи та рентні платежі в Україні відіграють важливу роль у формуванні державного бюджету, забезпечуючи значну частку фінансування соціально-економічних програм. Ефективність використання рентних ресурсів є одним із ключових показників раціонального управління природними багатствами країни, відображаючи здатність держави перетворювати природний потенціал на інструмент економічного зростання та соціальної справедливості.</w:t>
      </w:r>
    </w:p>
    <w:p w:rsidR="000C60E3" w:rsidRPr="00113A25" w:rsidRDefault="000C60E3" w:rsidP="000C60E3">
      <w:pPr>
        <w:pStyle w:val="11"/>
      </w:pPr>
      <w:r w:rsidRPr="00113A25">
        <w:t>Особливу увагу слід приділяти оцінці динаміки платежів від ренти у доходах Зведеного бюджету, адже цей показник демонструє, наскільки ефективно ресурси інтегровані у фінансову систему країни. З одного боку, зростання рентних надходжень свідчить про покращення умов для їхнього стягнення, зміну фіскальної політики або зростання економічної активності. З іншого боку, коливання обсягів цих доходів часто вказують на залежність бюджету від кон'юнктури ринку, стану ресурсної бази чи макроекономічних викликів, таких як війна, інфляція або зовнішні шоки.</w:t>
      </w:r>
    </w:p>
    <w:p w:rsidR="0076005D" w:rsidRPr="00113A25" w:rsidRDefault="0076005D" w:rsidP="0076005D">
      <w:pPr>
        <w:pStyle w:val="11"/>
      </w:pPr>
      <w:r w:rsidRPr="00113A25">
        <w:t xml:space="preserve">Запровадження територіально-адміністративної реформи та фінансової децентралізації здійснюється без урахування принципу справедливого розподілу рентних платежів, оскільки лише незначна їх частка спрямовується до сільських бюджетів. Зокрема, механізм розподілу рентної плати за видобуток нафти й газу передбачає надходження 95% рентних платежів до загального фонду державного бюджету та лише 5% – до місцевих бюджетів. При цьому 2% цих коштів спрямовуються до районних бюджетів, а 3% – до бюджетів міст обласного значення та об’єднаних територіальних громад за місцем видобутку природних ресурсів. Водночас відрахування лише 3% рентної плати до бюджетів об’єднаних територіальних громад не може вважатися справедливим розподілом, а також не забезпечує значущого фінансового ресурсу для розвитку цих громад. Такий підхід до розподілу не </w:t>
      </w:r>
      <w:r w:rsidRPr="00113A25">
        <w:lastRenderedPageBreak/>
        <w:t>дозволяє узгодити масштаби господарського освоєння природних ресурсів у межах сільських територіальних громад та на прилеглих територіях із пріоритетами соціально-економічного розвитку сільських населених пунктів, зокрема щодо реалізації проєктів модернізації соціальної та виробничої інфраструктури.</w:t>
      </w:r>
    </w:p>
    <w:p w:rsidR="000C60E3" w:rsidRPr="00113A25" w:rsidRDefault="000C60E3" w:rsidP="000C60E3">
      <w:pPr>
        <w:pStyle w:val="a3"/>
        <w:spacing w:before="0" w:beforeAutospacing="0" w:after="0" w:afterAutospacing="0" w:line="360" w:lineRule="auto"/>
        <w:ind w:firstLine="709"/>
        <w:jc w:val="both"/>
        <w:rPr>
          <w:sz w:val="28"/>
          <w:szCs w:val="28"/>
        </w:rPr>
      </w:pPr>
      <w:r w:rsidRPr="00113A25">
        <w:rPr>
          <w:sz w:val="28"/>
          <w:szCs w:val="28"/>
        </w:rPr>
        <w:t>Дані щодо рентної плати та плати за використання інших природних ресурсів у Зведеному бюджеті України свідчать про значні коливання обсягів надходжень у період 2019–2024 років, що відображає вплив як економічних, так і соціально-політичних факторів.</w:t>
      </w:r>
    </w:p>
    <w:p w:rsidR="000C60E3" w:rsidRPr="00113A25" w:rsidRDefault="000C60E3" w:rsidP="000C60E3">
      <w:pPr>
        <w:pStyle w:val="a3"/>
        <w:spacing w:before="0" w:beforeAutospacing="0" w:after="0" w:afterAutospacing="0" w:line="360" w:lineRule="auto"/>
        <w:jc w:val="both"/>
        <w:rPr>
          <w:sz w:val="28"/>
          <w:szCs w:val="28"/>
        </w:rPr>
      </w:pPr>
      <w:r w:rsidRPr="00113A25">
        <w:rPr>
          <w:noProof/>
        </w:rPr>
        <w:drawing>
          <wp:inline distT="0" distB="0" distL="0" distR="0" wp14:anchorId="6C013C4F" wp14:editId="0673A4A1">
            <wp:extent cx="6120765" cy="3184253"/>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C60E3" w:rsidRPr="00D6536B" w:rsidRDefault="000C60E3" w:rsidP="000C60E3">
      <w:pPr>
        <w:pStyle w:val="a3"/>
        <w:spacing w:before="0" w:beforeAutospacing="0" w:after="0" w:afterAutospacing="0" w:line="360" w:lineRule="auto"/>
        <w:ind w:firstLine="709"/>
        <w:jc w:val="both"/>
        <w:rPr>
          <w:sz w:val="28"/>
          <w:szCs w:val="28"/>
          <w:lang w:val="ru-RU"/>
        </w:rPr>
      </w:pPr>
      <w:r w:rsidRPr="00113A25">
        <w:rPr>
          <w:sz w:val="28"/>
          <w:szCs w:val="28"/>
        </w:rPr>
        <w:t>Рисунок 2.</w:t>
      </w:r>
      <w:r w:rsidR="0051471E" w:rsidRPr="00D6536B">
        <w:rPr>
          <w:sz w:val="28"/>
          <w:szCs w:val="28"/>
          <w:lang w:val="ru-RU"/>
        </w:rPr>
        <w:t>7</w:t>
      </w:r>
      <w:r w:rsidRPr="00113A25">
        <w:rPr>
          <w:sz w:val="28"/>
          <w:szCs w:val="28"/>
        </w:rPr>
        <w:t xml:space="preserve"> – Динаміка рентних платежів в Зведеному бюджеті в 2019 – ст</w:t>
      </w:r>
      <w:r w:rsidR="004A6FD0">
        <w:rPr>
          <w:sz w:val="28"/>
          <w:szCs w:val="28"/>
        </w:rPr>
        <w:t xml:space="preserve">аном на 1.11.2024 р., млн. грн. </w:t>
      </w:r>
      <w:r w:rsidR="004A6FD0" w:rsidRPr="00D6536B">
        <w:rPr>
          <w:sz w:val="28"/>
          <w:szCs w:val="28"/>
          <w:lang w:val="ru-RU"/>
        </w:rPr>
        <w:t>[</w:t>
      </w:r>
      <w:r w:rsidR="004A6FD0">
        <w:rPr>
          <w:rStyle w:val="ad"/>
          <w:sz w:val="28"/>
          <w:szCs w:val="28"/>
          <w:lang w:val="en-US"/>
        </w:rPr>
        <w:endnoteReference w:id="41"/>
      </w:r>
      <w:r w:rsidR="004A6FD0" w:rsidRPr="00D6536B">
        <w:rPr>
          <w:sz w:val="28"/>
          <w:szCs w:val="28"/>
          <w:lang w:val="ru-RU"/>
        </w:rPr>
        <w:t>]</w:t>
      </w:r>
    </w:p>
    <w:p w:rsidR="000C60E3" w:rsidRPr="00113A25" w:rsidRDefault="000C60E3" w:rsidP="000C60E3">
      <w:pPr>
        <w:pStyle w:val="a3"/>
        <w:spacing w:before="0" w:beforeAutospacing="0" w:after="0" w:afterAutospacing="0" w:line="360" w:lineRule="auto"/>
        <w:ind w:firstLine="709"/>
        <w:jc w:val="center"/>
        <w:rPr>
          <w:sz w:val="28"/>
          <w:szCs w:val="28"/>
        </w:rPr>
      </w:pPr>
    </w:p>
    <w:p w:rsidR="000C60E3" w:rsidRPr="00113A25" w:rsidRDefault="000C60E3" w:rsidP="000C60E3">
      <w:pPr>
        <w:pStyle w:val="a3"/>
        <w:spacing w:before="0" w:beforeAutospacing="0" w:after="0" w:afterAutospacing="0" w:line="360" w:lineRule="auto"/>
        <w:ind w:firstLine="709"/>
        <w:jc w:val="both"/>
        <w:rPr>
          <w:sz w:val="28"/>
          <w:szCs w:val="28"/>
        </w:rPr>
      </w:pPr>
      <w:r w:rsidRPr="00113A25">
        <w:rPr>
          <w:sz w:val="28"/>
          <w:szCs w:val="28"/>
        </w:rPr>
        <w:t xml:space="preserve">У 2019 році рентні платежі становили 52 024,9 млн грн, а в 2020 році спостерігалося зростання на 9,78%, що свідчить про помірне збільшення доходів від природокористування. Основними чинниками такого зростання могли бути </w:t>
      </w:r>
      <w:r w:rsidRPr="00113A25">
        <w:rPr>
          <w:rStyle w:val="12"/>
        </w:rPr>
        <w:t xml:space="preserve">покращення адміністрування зборів, зростання економічної активності в окремих секторах, а також коригування ставок рентної плати. Значний стрибок надходжень спостерігався у 2021 році, коли темп приросту сягнув 56,39%, а загальна сума рентних платежів досягла 89 318,5 млн грн. Це </w:t>
      </w:r>
      <w:r w:rsidRPr="00113A25">
        <w:rPr>
          <w:rStyle w:val="12"/>
        </w:rPr>
        <w:lastRenderedPageBreak/>
        <w:t xml:space="preserve">могло бути обумовлено підвищенням ставок рентної плати, активізацією видобувної галузі, а також сприятливими зовнішньоекономічними умовами, що збільшили доходи від експорту ресурсів. </w:t>
      </w:r>
      <w:r w:rsidRPr="00113A25">
        <w:rPr>
          <w:sz w:val="28"/>
          <w:szCs w:val="28"/>
        </w:rPr>
        <w:t>У 2022 році темп приросту суттєво знизився до 5,36%, що забезпечило надходження у розмірі 94 106 млн грн. Це уповільнення</w:t>
      </w:r>
      <w:r w:rsidR="00AA0FB5">
        <w:rPr>
          <w:sz w:val="28"/>
          <w:szCs w:val="28"/>
        </w:rPr>
        <w:t xml:space="preserve"> </w:t>
      </w:r>
      <w:r w:rsidRPr="00113A25">
        <w:rPr>
          <w:sz w:val="28"/>
          <w:szCs w:val="28"/>
        </w:rPr>
        <w:t xml:space="preserve">стало наслідком війни в Україні, яка негативно вплинула на економіку країни, зокрема на видобувну галузь та систему збору податків. Різке скорочення надходжень спостерігалося у 2023 році: обсяги рентної плати зменшилися до 66 310 млн грн, що відповідає темпу приросту -29,54%. Таке падіння свідчить про значний вплив бойових дій, зниження видобутку природних ресурсів, втрату територій. Станом на </w:t>
      </w:r>
      <w:r w:rsidR="00AA0FB5">
        <w:rPr>
          <w:sz w:val="28"/>
          <w:szCs w:val="28"/>
        </w:rPr>
        <w:t xml:space="preserve">кінець жовтня </w:t>
      </w:r>
      <w:r w:rsidRPr="00113A25">
        <w:rPr>
          <w:sz w:val="28"/>
          <w:szCs w:val="28"/>
        </w:rPr>
        <w:t>2024 році негативна динаміка продовжилася, і надходження скоротилися ще на 27,82%, досягнувши лише 47 860,8 млн грн. Це зниження може бути пояснене подальшим впливом військових дій, стагнацією економіки та</w:t>
      </w:r>
      <w:r w:rsidR="00AA0FB5">
        <w:rPr>
          <w:sz w:val="28"/>
          <w:szCs w:val="28"/>
        </w:rPr>
        <w:t xml:space="preserve"> </w:t>
      </w:r>
      <w:r w:rsidRPr="00113A25">
        <w:rPr>
          <w:sz w:val="28"/>
          <w:szCs w:val="28"/>
        </w:rPr>
        <w:t xml:space="preserve">погіршенням умов адміністрування податків на окупованих або постраждалих від бойових дій територіях. </w:t>
      </w:r>
    </w:p>
    <w:p w:rsidR="000C60E3" w:rsidRPr="00113A25" w:rsidRDefault="000C60E3" w:rsidP="000C60E3">
      <w:pPr>
        <w:pStyle w:val="a3"/>
        <w:spacing w:before="0" w:beforeAutospacing="0" w:after="0" w:afterAutospacing="0" w:line="360" w:lineRule="auto"/>
        <w:ind w:firstLine="709"/>
        <w:jc w:val="both"/>
        <w:rPr>
          <w:sz w:val="28"/>
          <w:szCs w:val="28"/>
        </w:rPr>
      </w:pPr>
      <w:r w:rsidRPr="00113A25">
        <w:rPr>
          <w:sz w:val="28"/>
          <w:szCs w:val="28"/>
        </w:rPr>
        <w:t xml:space="preserve">З метою визначення питомої ваги рентних платежів в доходах Зведеного бюджету здійснимо оцінку їх динаміки. </w:t>
      </w:r>
    </w:p>
    <w:p w:rsidR="000C60E3" w:rsidRPr="00113A25" w:rsidRDefault="000C60E3" w:rsidP="000C60E3">
      <w:pPr>
        <w:pStyle w:val="a3"/>
        <w:spacing w:before="0" w:beforeAutospacing="0" w:after="0" w:afterAutospacing="0" w:line="360" w:lineRule="auto"/>
        <w:jc w:val="both"/>
        <w:rPr>
          <w:sz w:val="28"/>
          <w:szCs w:val="28"/>
        </w:rPr>
      </w:pPr>
      <w:r w:rsidRPr="00113A25">
        <w:rPr>
          <w:noProof/>
        </w:rPr>
        <w:drawing>
          <wp:inline distT="0" distB="0" distL="0" distR="0" wp14:anchorId="1D7F66C5" wp14:editId="3B964279">
            <wp:extent cx="6120765" cy="335851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C60E3" w:rsidRPr="00113A25" w:rsidRDefault="000C60E3" w:rsidP="000C60E3">
      <w:pPr>
        <w:pStyle w:val="a3"/>
        <w:spacing w:before="0" w:beforeAutospacing="0" w:after="0" w:afterAutospacing="0" w:line="360" w:lineRule="auto"/>
        <w:ind w:firstLine="709"/>
        <w:jc w:val="both"/>
        <w:rPr>
          <w:sz w:val="28"/>
          <w:szCs w:val="28"/>
        </w:rPr>
      </w:pPr>
      <w:r w:rsidRPr="00113A25">
        <w:rPr>
          <w:sz w:val="28"/>
          <w:szCs w:val="28"/>
        </w:rPr>
        <w:t>Рисунок 2.</w:t>
      </w:r>
      <w:r w:rsidR="0051471E" w:rsidRPr="00D6536B">
        <w:rPr>
          <w:sz w:val="28"/>
          <w:szCs w:val="28"/>
          <w:lang w:val="ru-RU"/>
        </w:rPr>
        <w:t>8</w:t>
      </w:r>
      <w:r w:rsidRPr="00113A25">
        <w:rPr>
          <w:sz w:val="28"/>
          <w:szCs w:val="28"/>
        </w:rPr>
        <w:t xml:space="preserve"> – Динаміка доходів в Зведеному бюджеті в 2019 – станом на 1.11.2024 р., млн. грн. </w:t>
      </w:r>
      <w:r w:rsidR="004A6FD0" w:rsidRPr="00D6536B">
        <w:rPr>
          <w:sz w:val="28"/>
          <w:szCs w:val="28"/>
        </w:rPr>
        <w:t>[</w:t>
      </w:r>
      <w:r w:rsidR="004A6FD0">
        <w:rPr>
          <w:rStyle w:val="ad"/>
          <w:sz w:val="28"/>
          <w:szCs w:val="28"/>
          <w:lang w:val="en-US"/>
        </w:rPr>
        <w:endnoteReference w:id="42"/>
      </w:r>
      <w:r w:rsidR="004A6FD0" w:rsidRPr="00D6536B">
        <w:rPr>
          <w:sz w:val="28"/>
          <w:szCs w:val="28"/>
        </w:rPr>
        <w:t>]</w:t>
      </w:r>
    </w:p>
    <w:p w:rsidR="000C60E3" w:rsidRPr="00113A25" w:rsidRDefault="000C60E3" w:rsidP="000C60E3">
      <w:pPr>
        <w:pStyle w:val="11"/>
      </w:pPr>
      <w:r w:rsidRPr="00113A25">
        <w:lastRenderedPageBreak/>
        <w:t xml:space="preserve">Упродовж аналізованого періоду спостерігалося стійке зростання доходів бюджету, однак у 2024 році було зафіксовано уповільнення темпів приросту, що потребує ґрунтовного аналізу причин і наслідків такого явища. </w:t>
      </w:r>
    </w:p>
    <w:p w:rsidR="0051471E" w:rsidRDefault="000C60E3" w:rsidP="000C60E3">
      <w:pPr>
        <w:pStyle w:val="11"/>
      </w:pPr>
      <w:r w:rsidRPr="00113A25">
        <w:t xml:space="preserve">У 2019 році обсяг доходів Зведеного бюджету склав 1 289 779,8 млн грн., а у 2020 році зафіксовано зростання доходів на 6,74%, до 1 376 661,6 млн грн, що відображає вплив економічних викликів, зокрема пандемії COVID-19, яка суттєво обмежила економічну активність і негативно позначилася на обсягах податкових надходжень. У 2021 році темп приросту доходів значно прискорився, досягнувши 20,74%, що дозволило збільшити їхній загальний обсяг до 1 662 242,7 млн грн. Така динаміка може бути пояснена поступовим відновленням економічної активності та підвищенням ефективності податкового адміністрування. 2022 рік став надзвичайно складним через повномасштабну збройну агресію росії проти України. Попри це, доходи Зведеного бюджету зросли на 32,13% і досягли 2 196 273,3 млн грн. Зростання було зумовлено масштабними фіскальними заходами, зокрема підвищенням податкового навантаження, активізацією міжнародної фінансової підтримки та мобілізацією внутрішніх фінансових ресурсів. </w:t>
      </w:r>
    </w:p>
    <w:p w:rsidR="0051471E" w:rsidRDefault="000C60E3" w:rsidP="000C60E3">
      <w:pPr>
        <w:pStyle w:val="11"/>
      </w:pPr>
      <w:r w:rsidRPr="00113A25">
        <w:t xml:space="preserve">У 2023 році було зафіксовано рекордний темп приросту доходів на рівні 41,34%, що дозволило досягти історичного максимуму в 3 104 306,6 млн грн. Дане зростання можна пояснити активізацією економічної підтримки з боку міжнародних партнерів, розширенням бази оподаткування та зростанням податкового навантаження на окремі галузі економіки. </w:t>
      </w:r>
    </w:p>
    <w:p w:rsidR="000C60E3" w:rsidRPr="00113A25" w:rsidRDefault="00D845F9" w:rsidP="000C60E3">
      <w:pPr>
        <w:pStyle w:val="11"/>
      </w:pPr>
      <w:r>
        <w:t xml:space="preserve">Станом на жовтень </w:t>
      </w:r>
      <w:r w:rsidR="000C60E3" w:rsidRPr="00113A25">
        <w:t>2024 року обсяг доходів Зведеного бюджету становив 2 725 204,3 млн грн, що на 12,21% менше у порівнянні з аналогічним періодом попереднього року. Зниження темпів приросту доходів може бути наслідком уповільнення економічного відновлення, тривалих наслідків війни, зменшення обсягів зовнішнього фінансування та скорочення податкової бази.</w:t>
      </w:r>
    </w:p>
    <w:p w:rsidR="000C60E3" w:rsidRPr="00113A25" w:rsidRDefault="000C60E3" w:rsidP="000C60E3">
      <w:pPr>
        <w:spacing w:after="0" w:line="360" w:lineRule="auto"/>
        <w:ind w:firstLine="709"/>
        <w:jc w:val="both"/>
        <w:rPr>
          <w:rFonts w:ascii="Times New Roman" w:hAnsi="Times New Roman" w:cs="Times New Roman"/>
          <w:sz w:val="28"/>
          <w:szCs w:val="28"/>
        </w:rPr>
      </w:pPr>
    </w:p>
    <w:p w:rsidR="0051471E" w:rsidRDefault="0051471E" w:rsidP="000C60E3">
      <w:pPr>
        <w:spacing w:after="0" w:line="360" w:lineRule="auto"/>
        <w:jc w:val="both"/>
        <w:rPr>
          <w:rFonts w:ascii="Times New Roman" w:hAnsi="Times New Roman" w:cs="Times New Roman"/>
          <w:sz w:val="28"/>
          <w:szCs w:val="28"/>
        </w:rPr>
      </w:pPr>
    </w:p>
    <w:p w:rsidR="000C60E3" w:rsidRPr="00113A25" w:rsidRDefault="000C60E3" w:rsidP="000C60E3">
      <w:pPr>
        <w:spacing w:after="0" w:line="360" w:lineRule="auto"/>
        <w:jc w:val="both"/>
        <w:rPr>
          <w:rFonts w:ascii="Times New Roman" w:hAnsi="Times New Roman" w:cs="Times New Roman"/>
          <w:sz w:val="28"/>
          <w:szCs w:val="28"/>
        </w:rPr>
      </w:pPr>
      <w:r w:rsidRPr="00113A25">
        <w:rPr>
          <w:noProof/>
          <w:lang w:eastAsia="uk-UA"/>
        </w:rPr>
        <w:lastRenderedPageBreak/>
        <w:drawing>
          <wp:inline distT="0" distB="0" distL="0" distR="0" wp14:anchorId="0E80EA8F" wp14:editId="02B3382F">
            <wp:extent cx="6120765" cy="38862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C60E3" w:rsidRPr="00113A25" w:rsidRDefault="000C60E3" w:rsidP="000C60E3">
      <w:pPr>
        <w:pStyle w:val="a3"/>
        <w:spacing w:before="0" w:beforeAutospacing="0" w:after="0" w:afterAutospacing="0" w:line="360" w:lineRule="auto"/>
        <w:ind w:firstLine="709"/>
        <w:jc w:val="both"/>
        <w:rPr>
          <w:sz w:val="28"/>
          <w:szCs w:val="28"/>
        </w:rPr>
      </w:pPr>
      <w:r w:rsidRPr="00113A25">
        <w:rPr>
          <w:sz w:val="28"/>
          <w:szCs w:val="28"/>
        </w:rPr>
        <w:t>Рисунок 2.</w:t>
      </w:r>
      <w:r w:rsidR="0051471E" w:rsidRPr="00D6536B">
        <w:rPr>
          <w:sz w:val="28"/>
          <w:szCs w:val="28"/>
          <w:lang w:val="ru-RU"/>
        </w:rPr>
        <w:t>9</w:t>
      </w:r>
      <w:r w:rsidRPr="00113A25">
        <w:rPr>
          <w:sz w:val="28"/>
          <w:szCs w:val="28"/>
        </w:rPr>
        <w:t xml:space="preserve"> – Динаміка питомої ваги рентних платежів в доходах в Зведеному бюджеті в 2019 – станом на 1.11.2024 р., % </w:t>
      </w:r>
      <w:r w:rsidR="004A6FD0" w:rsidRPr="00D6536B">
        <w:rPr>
          <w:sz w:val="28"/>
          <w:szCs w:val="28"/>
          <w:lang w:val="ru-RU"/>
        </w:rPr>
        <w:t>[</w:t>
      </w:r>
      <w:r w:rsidR="004A6FD0">
        <w:rPr>
          <w:rStyle w:val="ad"/>
          <w:sz w:val="28"/>
          <w:szCs w:val="28"/>
          <w:lang w:val="en-US"/>
        </w:rPr>
        <w:endnoteReference w:id="43"/>
      </w:r>
      <w:r w:rsidR="004A6FD0" w:rsidRPr="00D6536B">
        <w:rPr>
          <w:sz w:val="28"/>
          <w:szCs w:val="28"/>
          <w:lang w:val="ru-RU"/>
        </w:rPr>
        <w:t>]</w:t>
      </w:r>
    </w:p>
    <w:p w:rsidR="000C60E3" w:rsidRPr="00113A25" w:rsidRDefault="000C60E3" w:rsidP="000C60E3">
      <w:pPr>
        <w:pStyle w:val="a3"/>
        <w:spacing w:before="0" w:beforeAutospacing="0" w:after="0" w:afterAutospacing="0" w:line="360" w:lineRule="auto"/>
        <w:ind w:firstLine="709"/>
        <w:jc w:val="center"/>
        <w:rPr>
          <w:sz w:val="28"/>
          <w:szCs w:val="28"/>
        </w:rPr>
      </w:pPr>
    </w:p>
    <w:p w:rsidR="000C60E3" w:rsidRPr="00113A25" w:rsidRDefault="000C60E3" w:rsidP="000C60E3">
      <w:pPr>
        <w:pStyle w:val="11"/>
      </w:pPr>
      <w:r w:rsidRPr="00113A25">
        <w:t xml:space="preserve">У 2019 році питома вага рентних платежів становила 4,03%, а в  2020 році зафіксовано незначне зростання до 4,15%, що відповідає абсолютному приросту на 0,12%. Це може бути </w:t>
      </w:r>
      <w:proofErr w:type="spellStart"/>
      <w:r w:rsidRPr="00113A25">
        <w:t>пояснено</w:t>
      </w:r>
      <w:proofErr w:type="spellEnd"/>
      <w:r w:rsidRPr="00113A25">
        <w:t xml:space="preserve"> певним покращенням механізмів збору рентних платежів або зростанням цін на відповідні ресурси. У 2021 році спостерігалося помітне збільшення частки рентних платежів до 5,37% (а</w:t>
      </w:r>
      <w:r w:rsidR="00AA0FB5">
        <w:t xml:space="preserve">бсолютний приріст – 1,22%), що </w:t>
      </w:r>
      <w:r w:rsidRPr="00113A25">
        <w:t xml:space="preserve">було зумовлено сприятливою ціновою кон’юнктурою на світових ринках природних ресурсів, зокрема нафти та газу, а також покращенням адміністрування рентних платежів. Однак у 2022 році цей показник знизився до 4,28%, що становить абсолютний спад на 1,09%. Така динаміка пояснюється наслідками військової агресії, яка суттєво вплинула на економічну активність та скоротила обсяги видобутку корисних копалин.  У 2023 році питома вага рентних платежів зменшилася до 2,14%, що відповідає абсолютному зниженню на 2,14% порівняно з попереднім роком. Це зниження є відображенням складної економічної ситуації, пов’язаної з </w:t>
      </w:r>
      <w:r w:rsidRPr="00113A25">
        <w:lastRenderedPageBreak/>
        <w:t xml:space="preserve">військовими діями, зокрема скорочення видобутку ресурсів, обмеження експорту та порушення логістичних ланцюгів. У січні–жовтні 2024 року частка рентних платежів продовжувала знижуватися, досягнувши рівня 1,76% із абсолютним спадом на 0,38% порівняно з 2023 роком. Така тенденція свідчить про подальшу дестабілізацію економічної ситуації, а також про неспроможність поточної системи рентних платежів забезпечувати належний рівень бюджетних надходжень.  </w:t>
      </w:r>
    </w:p>
    <w:p w:rsidR="000C60E3" w:rsidRPr="00113A25" w:rsidRDefault="000C60E3" w:rsidP="000C60E3">
      <w:pPr>
        <w:pStyle w:val="11"/>
      </w:pPr>
      <w:r w:rsidRPr="00113A25">
        <w:t xml:space="preserve">Отже, динаміка питомої ваги рентних платежів у Зведеному бюджеті України демонструє тенденцію до зниження в умовах військової агресії та економічної нестабільності. Це вимагає перегляду механізмів адміністрування рентних платежів, покращення прозорості їх розподілу, а також розробки заходів для відновлення видобувної галузі. Ефективне використання потенціалу рентних надходжень є важливим чинником фінансової стабільності держави та її здатності забезпечувати сталий соціально-економічний розвиток.  </w:t>
      </w:r>
    </w:p>
    <w:p w:rsidR="000C60E3" w:rsidRPr="00D6536B" w:rsidRDefault="000C60E3" w:rsidP="000C60E3">
      <w:pPr>
        <w:pStyle w:val="11"/>
        <w:rPr>
          <w:lang w:val="ru-RU"/>
        </w:rPr>
      </w:pPr>
      <w:r w:rsidRPr="00113A25">
        <w:t>Також визначимо питому вагу рентних платежів в ВВП України в 2019-2023 рр. З цією метою відобразимо динаміку ВВП Укр</w:t>
      </w:r>
      <w:r w:rsidR="0051471E">
        <w:t>аїни в 2019-2023 рр. на рис. 2.</w:t>
      </w:r>
      <w:r w:rsidR="0051471E" w:rsidRPr="00D6536B">
        <w:rPr>
          <w:lang w:val="ru-RU"/>
        </w:rPr>
        <w:t>10.</w:t>
      </w:r>
    </w:p>
    <w:p w:rsidR="000C60E3" w:rsidRPr="00113A25" w:rsidRDefault="000C60E3" w:rsidP="000C60E3">
      <w:pPr>
        <w:pStyle w:val="11"/>
        <w:ind w:firstLine="0"/>
      </w:pPr>
      <w:r w:rsidRPr="00113A25">
        <w:rPr>
          <w:noProof/>
        </w:rPr>
        <w:drawing>
          <wp:inline distT="0" distB="0" distL="0" distR="0" wp14:anchorId="307F1A73" wp14:editId="17266A2D">
            <wp:extent cx="6008370" cy="2949212"/>
            <wp:effectExtent l="0" t="0" r="0" b="381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C60E3" w:rsidRPr="00113A25" w:rsidRDefault="000C60E3" w:rsidP="000C60E3">
      <w:pPr>
        <w:pStyle w:val="11"/>
      </w:pPr>
      <w:r w:rsidRPr="00113A25">
        <w:t>Рисунок 2.</w:t>
      </w:r>
      <w:r w:rsidR="0051471E" w:rsidRPr="00D6536B">
        <w:rPr>
          <w:lang w:val="ru-RU"/>
        </w:rPr>
        <w:t>10</w:t>
      </w:r>
      <w:r w:rsidRPr="00113A25">
        <w:t xml:space="preserve"> – Динаміка ВВП України  2019 – 2023  р., млн. грн. </w:t>
      </w:r>
      <w:r w:rsidR="004A6FD0" w:rsidRPr="00D6536B">
        <w:rPr>
          <w:lang w:val="ru-RU"/>
        </w:rPr>
        <w:t>[</w:t>
      </w:r>
      <w:r w:rsidR="004A6FD0">
        <w:rPr>
          <w:rStyle w:val="ad"/>
          <w:lang w:val="en-US"/>
        </w:rPr>
        <w:endnoteReference w:id="44"/>
      </w:r>
      <w:r w:rsidR="004A6FD0" w:rsidRPr="00D6536B">
        <w:rPr>
          <w:lang w:val="ru-RU"/>
        </w:rPr>
        <w:t>]</w:t>
      </w:r>
    </w:p>
    <w:p w:rsidR="0051471E" w:rsidRDefault="000C60E3" w:rsidP="000C60E3">
      <w:pPr>
        <w:pStyle w:val="11"/>
      </w:pPr>
      <w:r w:rsidRPr="00113A25">
        <w:lastRenderedPageBreak/>
        <w:t xml:space="preserve">У 2020 році зафіксовано зростання ВВП на 5,52%, до 4 194 102 млн грн. Незначний вплив пандемії COVID-19 у цей період пояснюється адаптацією економіки до нових умов функціонування та заходами державної підтримки. У 2021 році темпи приросту ВВП суттєво прискорилися, досягнувши 30,17%, що підвищило його обсяг до 5 459 574 млн грн. Таке зростання обумовлено відновленням економічної активності після пандемії, збільшенням обсягів зовнішньої торгівлі та покращенням інвестиційного середовища. </w:t>
      </w:r>
    </w:p>
    <w:p w:rsidR="0051471E" w:rsidRDefault="000C60E3" w:rsidP="0051471E">
      <w:pPr>
        <w:pStyle w:val="11"/>
      </w:pPr>
      <w:r w:rsidRPr="00113A25">
        <w:t xml:space="preserve">У 2022 році через повномасштабну війну економіка України зіткнулася з серйозними викликами. ВВП скоротився на 4,92% і становив 5 191 028 млн грн. Зменшення обсягів було меншим, ніж очікувалося, завдяки міжнародній фінансовій допомозі, мобілізації внутрішніх ресурсів і адаптації окремих галузей до умов війни. </w:t>
      </w:r>
    </w:p>
    <w:p w:rsidR="000C60E3" w:rsidRPr="00113A25" w:rsidRDefault="0051471E" w:rsidP="0051471E">
      <w:pPr>
        <w:pStyle w:val="11"/>
      </w:pPr>
      <w:r>
        <w:t xml:space="preserve">В </w:t>
      </w:r>
      <w:r w:rsidR="000C60E3" w:rsidRPr="00113A25">
        <w:t xml:space="preserve">2023 році економіка України демонструвала суттєве відновлення, зростання ВВП склало 25,94%, досягнувши рекордного показника за п'ять років - 6 537 825 млн грн. Цьому сприяли міжнародна фінансова підтримка, адаптація до воєнних умов і відновлення господарської діяльності на звільнених територіях. </w:t>
      </w:r>
    </w:p>
    <w:p w:rsidR="000C60E3" w:rsidRDefault="000C60E3" w:rsidP="000C60E3">
      <w:pPr>
        <w:pStyle w:val="11"/>
      </w:pPr>
      <w:r w:rsidRPr="00113A25">
        <w:t>Отже, динаміка ВВП України у 2019–2023 роках відображає як періоди економічного зростання, так і кризові явища, спричинені пандемією COVID-19 та повномасштабною війною. Відновлення у 2023 році свідчить про значний рівень стійкості української економіки та ефективність заходів з її підтримки.</w:t>
      </w:r>
    </w:p>
    <w:p w:rsidR="0051471E" w:rsidRPr="00113A25" w:rsidRDefault="0051471E" w:rsidP="0051471E">
      <w:pPr>
        <w:pStyle w:val="11"/>
      </w:pPr>
      <w:r w:rsidRPr="00113A25">
        <w:t xml:space="preserve">У 2020 році спостерігалося незначне зростання питомої ваги рентних платежів на 0,05 </w:t>
      </w:r>
      <w:proofErr w:type="spellStart"/>
      <w:r w:rsidRPr="00113A25">
        <w:t>п.п</w:t>
      </w:r>
      <w:proofErr w:type="spellEnd"/>
      <w:r w:rsidRPr="00113A25">
        <w:t>., досягнувши 1,36%. Це збільшення</w:t>
      </w:r>
      <w:r w:rsidR="00AA0FB5">
        <w:t xml:space="preserve"> </w:t>
      </w:r>
      <w:r w:rsidRPr="00113A25">
        <w:t xml:space="preserve"> відображає адаптацію економіки до умов пандемії COVID-19 та можливі зміни у структурі рентних платежів в окремих секторах. У 2021 році спостерігався більш суттєвий приріст питомої ваги рентної плати у ВВП на 0,27 </w:t>
      </w:r>
      <w:proofErr w:type="spellStart"/>
      <w:r w:rsidRPr="00113A25">
        <w:t>п.п</w:t>
      </w:r>
      <w:proofErr w:type="spellEnd"/>
      <w:r w:rsidRPr="00113A25">
        <w:t>., що дозволило цьому показнику досягти 1,64%. Це зростання було зумовлене відновленням економічної активності після пандемії, а також збільшенням видобутку природних ресурсів або підвищенням ставок рентної плати.</w:t>
      </w:r>
    </w:p>
    <w:p w:rsidR="000C60E3" w:rsidRPr="00113A25" w:rsidRDefault="000C60E3" w:rsidP="000C60E3">
      <w:pPr>
        <w:pStyle w:val="11"/>
        <w:ind w:firstLine="142"/>
      </w:pPr>
      <w:r w:rsidRPr="00113A25">
        <w:rPr>
          <w:noProof/>
        </w:rPr>
        <w:lastRenderedPageBreak/>
        <w:drawing>
          <wp:inline distT="0" distB="0" distL="0" distR="0" wp14:anchorId="37C3F3E6" wp14:editId="73709731">
            <wp:extent cx="5921375" cy="4103914"/>
            <wp:effectExtent l="0" t="0" r="317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0C60E3" w:rsidRPr="00113A25" w:rsidRDefault="000C60E3" w:rsidP="000C60E3">
      <w:pPr>
        <w:pStyle w:val="11"/>
      </w:pPr>
      <w:r w:rsidRPr="00113A25">
        <w:t>Рисунок 2.</w:t>
      </w:r>
      <w:r w:rsidR="004A6FD0">
        <w:t>11</w:t>
      </w:r>
      <w:r w:rsidRPr="00113A25">
        <w:t xml:space="preserve"> – Динаміка питомої ваги рентних платежів в ВВП в 2019 – 2023 р., % </w:t>
      </w:r>
      <w:r w:rsidR="004A6FD0" w:rsidRPr="00D6536B">
        <w:rPr>
          <w:lang w:val="ru-RU"/>
        </w:rPr>
        <w:t>[</w:t>
      </w:r>
      <w:r w:rsidR="004A6FD0">
        <w:rPr>
          <w:rStyle w:val="ad"/>
          <w:lang w:val="en-US"/>
        </w:rPr>
        <w:endnoteReference w:id="45"/>
      </w:r>
      <w:r w:rsidR="004A6FD0" w:rsidRPr="00D6536B">
        <w:rPr>
          <w:lang w:val="ru-RU"/>
        </w:rPr>
        <w:t>]</w:t>
      </w:r>
    </w:p>
    <w:p w:rsidR="000C60E3" w:rsidRPr="00113A25" w:rsidRDefault="000C60E3" w:rsidP="000C60E3">
      <w:pPr>
        <w:pStyle w:val="a3"/>
        <w:spacing w:before="0" w:beforeAutospacing="0" w:after="0" w:afterAutospacing="0" w:line="360" w:lineRule="auto"/>
        <w:ind w:firstLine="709"/>
        <w:jc w:val="center"/>
        <w:rPr>
          <w:sz w:val="28"/>
          <w:szCs w:val="28"/>
        </w:rPr>
      </w:pPr>
    </w:p>
    <w:p w:rsidR="000C60E3" w:rsidRPr="00113A25" w:rsidRDefault="0051471E" w:rsidP="000C60E3">
      <w:pPr>
        <w:pStyle w:val="11"/>
      </w:pPr>
      <w:r>
        <w:t xml:space="preserve">В </w:t>
      </w:r>
      <w:r w:rsidR="000C60E3" w:rsidRPr="00113A25">
        <w:t xml:space="preserve">2022 році цей показник зріс ще на 0,18 </w:t>
      </w:r>
      <w:proofErr w:type="spellStart"/>
      <w:r w:rsidR="000C60E3" w:rsidRPr="00113A25">
        <w:t>п.п</w:t>
      </w:r>
      <w:proofErr w:type="spellEnd"/>
      <w:r w:rsidR="000C60E3" w:rsidRPr="00113A25">
        <w:t>., досягнувши 1,81%. В умовах війни та економічної нестабільності рентні платежі стали важливим джерелом доходів для державного бюджету, що компенсувало частину втрат від інших податків і зборів. Натомість, у 2023 році спостерігалося значне зниження питомої ваги рентної плати у ВВП на 0</w:t>
      </w:r>
      <w:r w:rsidR="00AA0FB5">
        <w:t xml:space="preserve">,80 </w:t>
      </w:r>
      <w:proofErr w:type="spellStart"/>
      <w:r w:rsidR="00AA0FB5">
        <w:t>п.п</w:t>
      </w:r>
      <w:proofErr w:type="spellEnd"/>
      <w:r w:rsidR="00AA0FB5">
        <w:t xml:space="preserve">., до 1,01%. Це падіння </w:t>
      </w:r>
      <w:r w:rsidR="000C60E3" w:rsidRPr="00113A25">
        <w:t xml:space="preserve">спричинене зниженням економічної активності в умовах війни, змінами в структурі видобутку природних ресурсів, а також можливим зменшенням рентних ставок у окремих галузях. Крім того, відсутність достатнього економічного відновлення в певних секторах могло сприяти зниженню цього показника. </w:t>
      </w:r>
    </w:p>
    <w:p w:rsidR="00C57730" w:rsidRDefault="000C60E3" w:rsidP="00C57730">
      <w:pPr>
        <w:pStyle w:val="11"/>
      </w:pPr>
      <w:r w:rsidRPr="00113A25">
        <w:t xml:space="preserve">Отже, аналіз питомої ваги рентної плати у ВВП України протягом 2019–2023 років показує значні коливання, зумовлені як економічними, так і політичними чинниками. Підвищення цього показника у 2021–2022 роках </w:t>
      </w:r>
      <w:r w:rsidRPr="00113A25">
        <w:lastRenderedPageBreak/>
        <w:t>пояснюється відновленням економіки та змінами в рентних надходженнях, тоді як його зниження у 2023 році є результатом поточної економічної ситуації, зокрема війни та зниження рівня економічної активності.</w:t>
      </w:r>
    </w:p>
    <w:p w:rsidR="0051471E" w:rsidRPr="00113A25" w:rsidRDefault="00C57730" w:rsidP="00C57730">
      <w:pPr>
        <w:pStyle w:val="11"/>
      </w:pPr>
      <w:r>
        <w:t>Таким чином</w:t>
      </w:r>
      <w:r w:rsidR="0051471E" w:rsidRPr="00113A25">
        <w:t xml:space="preserve">, </w:t>
      </w:r>
      <w:r w:rsidR="0051471E">
        <w:t>а</w:t>
      </w:r>
      <w:r w:rsidR="0051471E" w:rsidRPr="0051471E">
        <w:t xml:space="preserve">наліз рентних платежів в Україні показує значні коливання внаслідок економічних і військових факторів. Протягом 2019–2021 років спостерігалося помірне зростання, зокрема через підвищення ставок та активізацію видобувної галузі. Однак у 2022–2024 роках рентні надходження суттєво зменшилися через вплив війни, зниження видобутку та втрату територій. Це свідчить про серйозні економічні труднощі, що вимагають коригувань у податковій політиці для забезпечення стабільності в умовах </w:t>
      </w:r>
      <w:r w:rsidR="008F1288">
        <w:t>війни та повоєнного відновлення</w:t>
      </w:r>
      <w:r w:rsidR="0051471E" w:rsidRPr="0051471E">
        <w:t>.</w:t>
      </w:r>
      <w:r w:rsidR="008F1288">
        <w:t xml:space="preserve"> </w:t>
      </w:r>
      <w:r w:rsidR="0051471E" w:rsidRPr="00113A25">
        <w:t>Динаміка</w:t>
      </w:r>
      <w:r w:rsidR="0051471E">
        <w:t xml:space="preserve"> </w:t>
      </w:r>
      <w:r w:rsidR="0051471E" w:rsidRPr="00113A25">
        <w:t xml:space="preserve"> питомої ваги рентних платежів у Зведеному бюджеті України демонструє тенденцію до зниження в умовах військової агресії та економічної нестабільності. Це вимагає перегляду механізмів адміністрування рентних платежів, покращення прозорості їх розподілу, а також розробки заходів для відновлення видобувної галузі. Ефективне використання потенціалу рентних надходжень є важливим чинником фінансової стабільності держави та її здатності забезпечувати сталий соціально-економічний розвиток.  </w:t>
      </w:r>
    </w:p>
    <w:p w:rsidR="000C60E3" w:rsidRDefault="000C60E3"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Default="00B46BCA" w:rsidP="000C60E3">
      <w:pPr>
        <w:pStyle w:val="11"/>
      </w:pPr>
    </w:p>
    <w:p w:rsidR="00B46BCA" w:rsidRPr="00B46BCA" w:rsidRDefault="00B46BCA" w:rsidP="00B46BCA">
      <w:pPr>
        <w:pStyle w:val="1"/>
        <w:spacing w:before="0" w:line="360" w:lineRule="auto"/>
        <w:jc w:val="center"/>
        <w:rPr>
          <w:rFonts w:ascii="Times New Roman" w:hAnsi="Times New Roman" w:cs="Times New Roman"/>
          <w:b/>
          <w:color w:val="auto"/>
          <w:sz w:val="28"/>
          <w:szCs w:val="28"/>
        </w:rPr>
      </w:pPr>
      <w:bookmarkStart w:id="27" w:name="_Toc187523568"/>
      <w:r w:rsidRPr="00B46BCA">
        <w:rPr>
          <w:rFonts w:ascii="Times New Roman" w:hAnsi="Times New Roman" w:cs="Times New Roman"/>
          <w:b/>
          <w:color w:val="auto"/>
          <w:sz w:val="28"/>
          <w:szCs w:val="28"/>
        </w:rPr>
        <w:lastRenderedPageBreak/>
        <w:t>РОЗДІЛ 3</w:t>
      </w:r>
      <w:bookmarkEnd w:id="27"/>
    </w:p>
    <w:p w:rsidR="00B46BCA" w:rsidRPr="00B46BCA" w:rsidRDefault="00B46BCA" w:rsidP="00B46BCA">
      <w:pPr>
        <w:pStyle w:val="1"/>
        <w:spacing w:before="0" w:line="360" w:lineRule="auto"/>
        <w:jc w:val="center"/>
        <w:rPr>
          <w:rFonts w:ascii="Times New Roman" w:hAnsi="Times New Roman" w:cs="Times New Roman"/>
          <w:b/>
          <w:color w:val="auto"/>
          <w:sz w:val="28"/>
          <w:szCs w:val="28"/>
        </w:rPr>
      </w:pPr>
      <w:bookmarkStart w:id="28" w:name="_Toc187523569"/>
      <w:r w:rsidRPr="00B46BCA">
        <w:rPr>
          <w:rFonts w:ascii="Times New Roman" w:hAnsi="Times New Roman" w:cs="Times New Roman"/>
          <w:b/>
          <w:color w:val="auto"/>
          <w:sz w:val="28"/>
          <w:szCs w:val="28"/>
        </w:rPr>
        <w:t>НАПРЯМИ ВДОСКОНАЛЕННЯ ПОЛІТИКИ РЕГУЛЮВАННЯ ЗЕМЕЛЬНОЇ РЕНТИ ДЛЯ ЗАБЕЗПЕЧЕННЯ СОЦІАЛЬНОЇ СПРАВЕДЛИВОСТІ</w:t>
      </w:r>
      <w:bookmarkEnd w:id="28"/>
    </w:p>
    <w:p w:rsidR="00B46BCA" w:rsidRPr="00B46BCA" w:rsidRDefault="00B46BCA" w:rsidP="00B46BCA">
      <w:pPr>
        <w:spacing w:after="0" w:line="360" w:lineRule="auto"/>
        <w:ind w:firstLine="709"/>
        <w:jc w:val="both"/>
        <w:rPr>
          <w:rFonts w:ascii="Times New Roman" w:hAnsi="Times New Roman" w:cs="Times New Roman"/>
          <w:sz w:val="28"/>
          <w:szCs w:val="28"/>
        </w:rPr>
      </w:pPr>
    </w:p>
    <w:p w:rsidR="00B46BCA" w:rsidRPr="00B46BCA" w:rsidRDefault="00B46BCA" w:rsidP="00B46BCA">
      <w:pPr>
        <w:pStyle w:val="1"/>
        <w:spacing w:before="0" w:line="360" w:lineRule="auto"/>
        <w:ind w:firstLine="709"/>
        <w:jc w:val="both"/>
        <w:rPr>
          <w:rFonts w:ascii="Times New Roman" w:hAnsi="Times New Roman" w:cs="Times New Roman"/>
          <w:b/>
          <w:color w:val="auto"/>
          <w:sz w:val="28"/>
          <w:szCs w:val="28"/>
        </w:rPr>
      </w:pPr>
      <w:bookmarkStart w:id="29" w:name="_Toc187523570"/>
      <w:r w:rsidRPr="00B46BCA">
        <w:rPr>
          <w:rFonts w:ascii="Times New Roman" w:hAnsi="Times New Roman" w:cs="Times New Roman"/>
          <w:b/>
          <w:color w:val="auto"/>
          <w:sz w:val="28"/>
          <w:szCs w:val="28"/>
        </w:rPr>
        <w:t>3.1. Проблеми та перспективи розвитку земельних відносин в Україні</w:t>
      </w:r>
      <w:bookmarkEnd w:id="29"/>
    </w:p>
    <w:p w:rsidR="00B46BCA" w:rsidRPr="00B46BCA" w:rsidRDefault="00B46BCA" w:rsidP="00B46BCA">
      <w:pPr>
        <w:spacing w:line="360" w:lineRule="auto"/>
        <w:ind w:firstLine="709"/>
        <w:jc w:val="both"/>
        <w:rPr>
          <w:rFonts w:ascii="Times New Roman" w:hAnsi="Times New Roman" w:cs="Times New Roman"/>
          <w:sz w:val="28"/>
          <w:szCs w:val="28"/>
        </w:rPr>
      </w:pPr>
    </w:p>
    <w:p w:rsidR="00B46BCA" w:rsidRPr="00B46BCA" w:rsidRDefault="00B46BCA" w:rsidP="00B46BCA">
      <w:pPr>
        <w:pStyle w:val="11"/>
      </w:pPr>
      <w:r w:rsidRPr="00B46BCA">
        <w:t>Україна, завдяки значному потенціалу родючих земель, посідає провідні позиції серед країн світу за їхньою природною продуктивністю. Висока якість ґрунтового покриву обумовлює ключову роль земельного фонду як одного з основних ресурсів економічного розвитку держави, складової її національного багатства та головного засобу виробництва у сільському господарстві. Однак сучасний рівень використання земельних ресурсів свідчить про екстенсивний та екологічно незбалансований підхід до їх експлуатації [10–13].</w:t>
      </w:r>
    </w:p>
    <w:p w:rsidR="00B46BCA" w:rsidRPr="00B46BCA" w:rsidRDefault="00B46BCA" w:rsidP="00B46BCA">
      <w:pPr>
        <w:pStyle w:val="11"/>
      </w:pPr>
      <w:r w:rsidRPr="00B46BCA">
        <w:t xml:space="preserve">Рівень освоєння земельного фонду в Україні є одним із найвищих у світі. Зі 60,4 млн га загальної площі країни 34,4 млн га (70,5%) припадає на сільськогосподарські угіддя. Частка розораних земель досягає 57% території, що є найвищим показником у світі. Проте такий спосіб використання земельних ресурсів не відповідає принципам раціонального природокористування. Порушено екологічно допустиме співвідношення площ ріллі, природних кормових угідь і лісових насаджень, що негативно впливає на стійкість </w:t>
      </w:r>
      <w:proofErr w:type="spellStart"/>
      <w:r w:rsidRPr="00B46BCA">
        <w:t>агроландшафтів</w:t>
      </w:r>
      <w:proofErr w:type="spellEnd"/>
      <w:r w:rsidRPr="00B46BCA">
        <w:t>.</w:t>
      </w:r>
    </w:p>
    <w:p w:rsidR="00B46BCA" w:rsidRPr="00B46BCA" w:rsidRDefault="00B46BCA" w:rsidP="00B46BCA">
      <w:pPr>
        <w:pStyle w:val="11"/>
      </w:pPr>
      <w:r w:rsidRPr="00B46BCA">
        <w:t xml:space="preserve">Лісостепова зона характеризується найбільшим рівнем орного використання земель (66,4%), що свідчить про значну аграрну інтенсивність у цьому регіоні. У зоні мішаних лісів частка лісових насаджень складає 30,8%, що сприяє екологічній стабільності регіону. Гірський Крим, попри невелику загальну площу, відрізняється високою часткою багаторічних насаджень (8,7%) і пасовищ (15,6%). Такий регіональний аналіз підкреслює необхідність </w:t>
      </w:r>
      <w:r w:rsidRPr="00B46BCA">
        <w:lastRenderedPageBreak/>
        <w:t>запровадження диференційованого підходу до управління земельними ресурсами залежно від природних і господарських умов окремих територій.</w:t>
      </w:r>
    </w:p>
    <w:p w:rsidR="00B46BCA" w:rsidRPr="00B46BCA" w:rsidRDefault="00B46BCA" w:rsidP="00B46BCA">
      <w:pPr>
        <w:pStyle w:val="11"/>
      </w:pPr>
      <w:r w:rsidRPr="00B46BCA">
        <w:t>Нераціональне використання земельних ресурсів спричиняє втрату унікальних властивостей українських чорноземів, зокрема їх вивітрювання та вимивання, що призводить до зниження якості ґрунтів. Негативні наслідки інтенсивної експлуатації орних земель виявляються у поширенні процесів деградації ґрунтового покриву, зокрема ерозії, перезволоження, підвищення кислотності та інших негативних явищ. Ці процеси становлять серйозну загрозу для стабільного розвитку аграрного сектору та екологічного балансу в країні.</w:t>
      </w:r>
    </w:p>
    <w:p w:rsidR="00B46BCA" w:rsidRPr="00B46BCA" w:rsidRDefault="00B46BCA" w:rsidP="00B46BCA">
      <w:pPr>
        <w:pStyle w:val="11"/>
      </w:pPr>
      <w:r w:rsidRPr="00B46BCA">
        <w:t xml:space="preserve">Удосконалення державного регулювання раціонального використання земельних ресурсів вимагає впровадження екологічно збалансованих методів землеробства. Використання сучасних </w:t>
      </w:r>
      <w:proofErr w:type="spellStart"/>
      <w:r w:rsidRPr="00B46BCA">
        <w:t>агротехнологій</w:t>
      </w:r>
      <w:proofErr w:type="spellEnd"/>
      <w:r w:rsidRPr="00B46BCA">
        <w:t xml:space="preserve"> та органічного землеробства є ключовим напрямком у мінімізації впливу на навколишнє середовище та забезпеченні стійкого розвитку аграрної галузі. Водночас впровадження таких методів залишається недостатньо активним через обмежену державну підтримку та низький рівень обізнаності сільськогосподарських виробників.</w:t>
      </w:r>
    </w:p>
    <w:p w:rsidR="00B46BCA" w:rsidRPr="00B46BCA" w:rsidRDefault="00B46BCA" w:rsidP="00B46BCA">
      <w:pPr>
        <w:pStyle w:val="11"/>
      </w:pPr>
      <w:r w:rsidRPr="00B46BCA">
        <w:t>Відсутність ефективних механізмів моніторингу та оцінки стану земель значно ускладнює ухвалення обґрунтованих рішень щодо їх використання та охорони. Необхідним є створення сучасних систем моніторингу, які враховуватимуть екологічні аспекти та ґрунтуватимуться на новітніх технологіях. Це сприятиме підвищенню ефективності управління земельними ресурсами та мінімізації негативних наслідків їх нераціональної експлуатації.</w:t>
      </w:r>
    </w:p>
    <w:p w:rsidR="00B46BCA" w:rsidRPr="00B46BCA" w:rsidRDefault="00B46BCA" w:rsidP="00B46BCA">
      <w:pPr>
        <w:pStyle w:val="11"/>
      </w:pPr>
      <w:r w:rsidRPr="00B46BCA">
        <w:t>Залучення громадськості до процесів управління земельними ресурсами є важливим елементом удосконалення державного регулювання. Активна участь громадських організацій у прийнятті рішень щодо використання земель дозволить врахувати місцеві інтереси та забезпечити більш раціональний підхід до землекористування.</w:t>
      </w:r>
    </w:p>
    <w:p w:rsidR="00B46BCA" w:rsidRPr="00B46BCA" w:rsidRDefault="00B46BCA" w:rsidP="00B46BCA">
      <w:pPr>
        <w:pStyle w:val="11"/>
      </w:pPr>
      <w:r w:rsidRPr="00B46BCA">
        <w:lastRenderedPageBreak/>
        <w:t>Інформаційно-просвітницькі кампанії відіграють важливу роль у формуванні екологічної свідомості населення та підвищенні рівня знань про раціональне землекористування. Додатково необхідно здійснити комплексну оцінку чинних державних програм і ініціатив з метою їх оптимізації та адаптації до актуальних викликів і потреб сільськогосподарського сектору. Це забезпечить підвищення ефективності таких програм і сприятиме сталому розвитку земельних відносин у країні.</w:t>
      </w:r>
    </w:p>
    <w:p w:rsidR="00B46BCA" w:rsidRPr="00B46BCA" w:rsidRDefault="00B46BCA" w:rsidP="00B46BCA">
      <w:pPr>
        <w:pStyle w:val="11"/>
      </w:pPr>
      <w:r w:rsidRPr="00B46BCA">
        <w:t>Важливим напрямом удосконалення регулювання земельних відносин є реформування правових механізмів. Нечіткість та застарілість чинних правових норм створюють суттєві перешкоди для ефективного управління земельними ресурсами. У цьому контексті необхідно розробити та впровадити сучасні законодавчі акти, що відповідатимуть актуальним викликам і тенденціям у сфері землекористування.</w:t>
      </w:r>
    </w:p>
    <w:p w:rsidR="00B46BCA" w:rsidRPr="00B46BCA" w:rsidRDefault="00B46BCA" w:rsidP="00B46BCA">
      <w:pPr>
        <w:pStyle w:val="11"/>
      </w:pPr>
      <w:r w:rsidRPr="00B46BCA">
        <w:t>Не менш важливим є інтеграція екологічних аспектів у всі рівні прийняття рішень, що стосуються управління земельними ресурсами. Такий підхід забезпечить не лише економічну, а й екологічну стійкість аграрного сектору України. Комплексне впровадження зазначених заходів сприятиме вдосконаленню державного регулювання раціонального використання земельних ресурсів, що є ключовою умовою сталого розвитку країни.</w:t>
      </w:r>
    </w:p>
    <w:p w:rsidR="00B46BCA" w:rsidRPr="00B46BCA" w:rsidRDefault="00B46BCA" w:rsidP="00B46BCA">
      <w:pPr>
        <w:pStyle w:val="11"/>
      </w:pPr>
      <w:r w:rsidRPr="00B46BCA">
        <w:t>Особливу увагу варто приділити використанню сучасних геоінформаційних систем (ГІС) для моніторингу стану земельних ресурсів. Інноваційні ГІС-технології значно підвищують точність і швидкість збору, обробки та аналізу даних щодо земельного фонду. Застосування цих технологій забезпечує ефективний моніторинг та управління земельними ресурсами на різних рівнях, від місцевого до національного.</w:t>
      </w:r>
    </w:p>
    <w:p w:rsidR="00B46BCA" w:rsidRPr="00B46BCA" w:rsidRDefault="00B46BCA" w:rsidP="00B46BCA">
      <w:pPr>
        <w:pStyle w:val="11"/>
      </w:pPr>
      <w:r w:rsidRPr="00B46BCA">
        <w:t xml:space="preserve">Зокрема, ГІС дозволяють створювати </w:t>
      </w:r>
      <w:proofErr w:type="spellStart"/>
      <w:r w:rsidRPr="00B46BCA">
        <w:t>високодеталізовані</w:t>
      </w:r>
      <w:proofErr w:type="spellEnd"/>
      <w:r w:rsidRPr="00B46BCA">
        <w:t xml:space="preserve"> карти земельних ресурсів, які відображають широкий спектр параметрів, зокрема стан ґрунтів, рослинності, водних ресурсів та інфраструктури. Регулярне оновлення таких карт на основі даних, отриманих із супутників, </w:t>
      </w:r>
      <w:proofErr w:type="spellStart"/>
      <w:r w:rsidRPr="00B46BCA">
        <w:t>дронів</w:t>
      </w:r>
      <w:proofErr w:type="spellEnd"/>
      <w:r w:rsidRPr="00B46BCA">
        <w:t xml:space="preserve"> та інших джерел, гарантує актуальність інформації. Ці інструменти мають </w:t>
      </w:r>
      <w:r w:rsidRPr="00B46BCA">
        <w:lastRenderedPageBreak/>
        <w:t>вирішальне значення для обґрунтованого планування та прийняття управлінських рішень у сфері землекористування.</w:t>
      </w:r>
    </w:p>
    <w:p w:rsidR="00B46BCA" w:rsidRPr="00B46BCA" w:rsidRDefault="00B46BCA" w:rsidP="00B46BCA">
      <w:pPr>
        <w:pStyle w:val="11"/>
      </w:pPr>
      <w:r w:rsidRPr="00B46BCA">
        <w:t>Аналіз існуючої системи управління земельними ресурсами в Україні свідчить про низку проблем, таких як недостатня прозорість процедур, високий рівень освоєння земельного фонду та нераціональне використання земель, що спричиняє деградацію ґрунтів. Удосконалення державного регулювання в цій сфері є необхідною умовою для досягнення сталого розвитку країни та підвищення ефективності використання її природних ресурсів.</w:t>
      </w:r>
    </w:p>
    <w:p w:rsidR="00B46BCA" w:rsidRPr="0057668D" w:rsidRDefault="00B46BCA" w:rsidP="00B46BCA">
      <w:pPr>
        <w:pStyle w:val="11"/>
      </w:pPr>
      <w:r w:rsidRPr="0057668D">
        <w:t>Децентралізація в Україні розглядається як одна з ключових реформ, що має на меті підвищення ефективності управління, розширення участі громад у прийнятті рішень та створення передумов для сталого розвитку територій. У контексті земельних відносин децентралізація спрямована на передачу повноважень з управління земельними ресурсами від центральних органів влади до місцевих громад. Цей процес має суттєвий потенціал для вдосконалення управління, однак його впровадження супроводжується низкою проблем, які потребують вирішення.</w:t>
      </w:r>
    </w:p>
    <w:p w:rsidR="00B46BCA" w:rsidRPr="00B46BCA" w:rsidRDefault="00B46BCA" w:rsidP="00B46BCA">
      <w:pPr>
        <w:pStyle w:val="11"/>
      </w:pPr>
      <w:r w:rsidRPr="00B46BCA">
        <w:t>Проблемами децентралізації у сфері земельних відносин</w:t>
      </w:r>
      <w:r w:rsidR="00B96DEC">
        <w:t xml:space="preserve"> </w:t>
      </w:r>
      <w:r w:rsidR="00B96DEC" w:rsidRPr="00D6536B">
        <w:rPr>
          <w:lang w:val="ru-RU"/>
        </w:rPr>
        <w:t>[</w:t>
      </w:r>
      <w:r w:rsidR="00B96DEC">
        <w:rPr>
          <w:rStyle w:val="ad"/>
          <w:lang w:val="en-US"/>
        </w:rPr>
        <w:endnoteReference w:id="46"/>
      </w:r>
      <w:r w:rsidR="00B96DEC" w:rsidRPr="00D6536B">
        <w:rPr>
          <w:lang w:val="ru-RU"/>
        </w:rPr>
        <w:t>]</w:t>
      </w:r>
      <w:r w:rsidRPr="00B46BCA">
        <w:t>:</w:t>
      </w:r>
    </w:p>
    <w:p w:rsidR="00B46BCA" w:rsidRPr="00B46BCA" w:rsidRDefault="00B46BCA" w:rsidP="00B46BCA">
      <w:pPr>
        <w:pStyle w:val="11"/>
      </w:pPr>
      <w:r w:rsidRPr="00B46BCA">
        <w:t xml:space="preserve">1. недосконалість законодавчої бази: </w:t>
      </w:r>
    </w:p>
    <w:p w:rsidR="00B46BCA" w:rsidRPr="00B46BCA" w:rsidRDefault="00B46BCA" w:rsidP="00B46BCA">
      <w:pPr>
        <w:pStyle w:val="11"/>
      </w:pPr>
      <w:r w:rsidRPr="00B46BCA">
        <w:t>1.1. суперечності та прогалини у правовому регулюванні. Наразі законодавство, що регулює земельні відносини, містить значну кількість суперечностей і прогалин, які ускладнюють процес передачі повноважень на місцевий рівень. Це створює ризики правової невизначеності, сприяє виникненню конфліктів між учасниками земельних відносин і відкриває можливості для зловживань;</w:t>
      </w:r>
    </w:p>
    <w:p w:rsidR="00B46BCA" w:rsidRPr="00B46BCA" w:rsidRDefault="00B46BCA" w:rsidP="00B46BCA">
      <w:pPr>
        <w:pStyle w:val="11"/>
      </w:pPr>
      <w:r w:rsidRPr="00B46BCA">
        <w:t>1.2. нестабільність нормативно-правового середовища. Часті зміни у законодавстві, пов’язані із земельними відносинами, викликають невизначеність у діях місцевих органів влади та землевласників, що негативно впливає на довгострокове планування й ефективність управління земельними ресурсами.</w:t>
      </w:r>
    </w:p>
    <w:p w:rsidR="00B46BCA" w:rsidRPr="00B46BCA" w:rsidRDefault="00B46BCA" w:rsidP="00B46BCA">
      <w:pPr>
        <w:pStyle w:val="11"/>
      </w:pPr>
      <w:r w:rsidRPr="00B46BCA">
        <w:lastRenderedPageBreak/>
        <w:t xml:space="preserve">2. Недостатній рівень підготовки місцевих кадрів: </w:t>
      </w:r>
    </w:p>
    <w:p w:rsidR="00B46BCA" w:rsidRPr="00B46BCA" w:rsidRDefault="00B46BCA" w:rsidP="00B46BCA">
      <w:pPr>
        <w:pStyle w:val="11"/>
      </w:pPr>
      <w:r w:rsidRPr="00B46BCA">
        <w:t xml:space="preserve">2.1. брак кваліфікованих спеціалістів. Місцеві громади часто стикаються з дефіцитом кадрів, які мають відповідні знання та досвід для управління земельними ресурсами. Це ускладнює процес реалізації повноважень і підвищує ризик прийняття необґрунтованих рішень; </w:t>
      </w:r>
    </w:p>
    <w:p w:rsidR="00B46BCA" w:rsidRPr="00B46BCA" w:rsidRDefault="00B46BCA" w:rsidP="00B46BCA">
      <w:pPr>
        <w:pStyle w:val="11"/>
      </w:pPr>
      <w:r w:rsidRPr="00B46BCA">
        <w:t xml:space="preserve">2.2. необхідність підвищення кваліфікації. Для успішного впровадження децентралізації необхідно організувати навчання та професійний розвиток місцевих спеціалістів, що потребує значних фінансових і часових ресурсів; </w:t>
      </w:r>
    </w:p>
    <w:p w:rsidR="00B46BCA" w:rsidRPr="00B46BCA" w:rsidRDefault="00B46BCA" w:rsidP="00B46BCA">
      <w:pPr>
        <w:pStyle w:val="11"/>
      </w:pPr>
      <w:r w:rsidRPr="00B46BCA">
        <w:t>3.</w:t>
      </w:r>
      <w:r w:rsidRPr="00B46BCA">
        <w:tab/>
        <w:t xml:space="preserve">Фінансові обмеження: </w:t>
      </w:r>
    </w:p>
    <w:p w:rsidR="00B46BCA" w:rsidRPr="00B46BCA" w:rsidRDefault="00B46BCA" w:rsidP="00B46BCA">
      <w:pPr>
        <w:pStyle w:val="11"/>
      </w:pPr>
      <w:r w:rsidRPr="00B46BCA">
        <w:t>3.1. недостатність фінансового забезпечення. Багато громад мають обмежені ресурси для ефективного виконання покладених на них завдань у сфері управління земельними ресурсами. Це ускладнює реалізацію програм розвитку та належне утримання земельного фонду;</w:t>
      </w:r>
    </w:p>
    <w:p w:rsidR="00B46BCA" w:rsidRPr="00B46BCA" w:rsidRDefault="00B46BCA" w:rsidP="00B46BCA">
      <w:pPr>
        <w:pStyle w:val="11"/>
      </w:pPr>
      <w:r w:rsidRPr="00B46BCA">
        <w:t>3.2. невідповідність між обсягом завдань і фінансовими можливостями. Часто обсяг завдань, переданих місцевим громадам, перевищує їх фінансові можливості, що створює додаткові труднощі в організації ефективного управління земельними ресурсами.</w:t>
      </w:r>
    </w:p>
    <w:p w:rsidR="00B46BCA" w:rsidRPr="00B46BCA" w:rsidRDefault="00B46BCA" w:rsidP="00B46BCA">
      <w:pPr>
        <w:pStyle w:val="11"/>
      </w:pPr>
      <w:r w:rsidRPr="00B46BCA">
        <w:t>4.</w:t>
      </w:r>
      <w:r w:rsidRPr="00B46BCA">
        <w:tab/>
        <w:t xml:space="preserve">Корупційні ризики: </w:t>
      </w:r>
    </w:p>
    <w:p w:rsidR="00B46BCA" w:rsidRPr="00B46BCA" w:rsidRDefault="00B46BCA" w:rsidP="00B46BCA">
      <w:pPr>
        <w:pStyle w:val="11"/>
      </w:pPr>
      <w:r w:rsidRPr="00B46BCA">
        <w:t>4.1. зловживання повноваженнями. Передача повноважень на місцевий рівень може супроводжуватися ризиками корупції та нецільового використання земель, якщо не будуть запроваджені ефективні механізми контролю та прозорості;</w:t>
      </w:r>
    </w:p>
    <w:p w:rsidR="00B46BCA" w:rsidRPr="00B46BCA" w:rsidRDefault="00B46BCA" w:rsidP="00B46BCA">
      <w:pPr>
        <w:pStyle w:val="11"/>
      </w:pPr>
      <w:r w:rsidRPr="00B46BCA">
        <w:t xml:space="preserve">4.2. відсутність належного нагляду. Недостатній контроль з боку центральних органів влади сприяє поширенню корупційних схем і непрозорих практик на місцевому рівні, що знижує довіру до </w:t>
      </w:r>
      <w:proofErr w:type="spellStart"/>
      <w:r w:rsidRPr="00B46BCA">
        <w:t>децентралізаційних</w:t>
      </w:r>
      <w:proofErr w:type="spellEnd"/>
      <w:r w:rsidRPr="00B46BCA">
        <w:t xml:space="preserve"> процесів.</w:t>
      </w:r>
    </w:p>
    <w:p w:rsidR="00B46BCA" w:rsidRPr="00B46BCA" w:rsidRDefault="00B46BCA" w:rsidP="00B46BCA">
      <w:pPr>
        <w:pStyle w:val="11"/>
      </w:pPr>
      <w:r w:rsidRPr="00B46BCA">
        <w:t xml:space="preserve">Децентралізація у сфері земельних відносин відкриває значні можливості для підвищення ефективності управління земельними ресурсами та забезпечення сталого розвитку територіальних громад. Однією з основних перспектив є зростання ефективності управління земельними ресурсами. Завдяки близькості місцевих громад до реальних потреб і проблем їхньої </w:t>
      </w:r>
      <w:r w:rsidRPr="00B46BCA">
        <w:lastRenderedPageBreak/>
        <w:t>території, процес прийняття рішень стає більш обґрунтованим та оперативним. Місцеві органи влади здатні швидше реагувати на виклики, пов'язані з використанням земельних ресурсів, що забезпечує раціональне використання земель. Крім того, децентралізація створює умови для активного залучення громадян до процесу прийняття рішень, що сприяє прозорості та підвищує відповідальність влади перед громадою. Важливим аспектом є стимулювання розвитку місцевої інфраструктури. Передача повноважень з управління земельними ресурсами на місцевий рівень дозволяє громадам ефективніше використовувати земельні ресурси для залучення інвестицій у розвиток інфраструктурних проєктів і соціальних ініціатив. Це не лише створює сприятливі умови для економічного зростання громад, а й сприяє підвищенню якості життя мешканців. Інвестування у розвиток транспортної, соціальної та інженерної інфраструктури значною мірою залежить від спроможності місцевих органів влади ефективно використовувати передані їм повноваження.</w:t>
      </w:r>
    </w:p>
    <w:p w:rsidR="00B46BCA" w:rsidRPr="00B46BCA" w:rsidRDefault="00B46BCA" w:rsidP="00B46BCA">
      <w:pPr>
        <w:pStyle w:val="11"/>
      </w:pPr>
      <w:r w:rsidRPr="00B46BCA">
        <w:t>Таким чином, успішне впровадження децентралізації у сфері земельних відносин вимагає комплексного вирішення зазначених проблем. Це передбачає вдосконалення законодавчої бази, забезпечення належного фінансування, підвищення професійного рівня місцевих кадрів та запровадження ефективних механізмів контролю і прозорості. Лише за умов системного підходу можливо досягти позитивних результатів і забезпечити сталий розвиток територіальних громад. Децентралізація у сфері земельних відносин має значний потенціал для покращення управління земельними ресурсами, підвищення активності громадян у процесі прийняття рішень, а також розвитку місцевої інфраструктури. Водночас реалізація цих перспектив залежить від ефективності правового регулювання, належного фінансового забезпечення та рівня підготовки кадрів.</w:t>
      </w:r>
    </w:p>
    <w:p w:rsidR="00B46BCA" w:rsidRPr="00B46BCA" w:rsidRDefault="00B46BCA" w:rsidP="00B46BCA">
      <w:pPr>
        <w:pStyle w:val="11"/>
      </w:pPr>
      <w:r w:rsidRPr="00B46BCA">
        <w:t xml:space="preserve">З початком повномасштабного вторгнення функціонування Державного земельного кадастру та Державного реєстру речових прав на нерухоме майно було припинено, що призвело до фактичного неможливості здійснення </w:t>
      </w:r>
      <w:r w:rsidRPr="00B46BCA">
        <w:lastRenderedPageBreak/>
        <w:t xml:space="preserve">операцій з земельними ділянками. Для вирішення цієї ситуації законодавчі органи запровадили спеціальні правила обігу земель під час воєнного стану, спрямовані на забезпечення продовольчої безпеки та підтримку можливості обробітку сільськогосподарських земель. Зокрема, було передбачено автоматичне поновлення договорів оренди сільськогосподарських земель без необхідності укладення додаткових правочинів між сторонами, спрощений порядок передачі земель в оренду для ведення товарного сільськогосподарського виробництва на термін до одного року без державної реєстрації речового права, а також заборону проведення земельних торгів щодо сільськогосподарських земель. Однак, з часом ці надзвичайні заходи втратили свою актуальність, оскільки державні реєстри відновили свою роботу, і виникла потреба повернутися до більш звичних механізмів регулювання земельних відносин. </w:t>
      </w:r>
    </w:p>
    <w:p w:rsidR="00B46BCA" w:rsidRPr="00B46BCA" w:rsidRDefault="00B46BCA" w:rsidP="00B46BCA">
      <w:pPr>
        <w:pStyle w:val="11"/>
        <w:rPr>
          <w:color w:val="000000"/>
          <w:sz w:val="27"/>
          <w:szCs w:val="27"/>
        </w:rPr>
      </w:pPr>
      <w:r w:rsidRPr="00B46BCA">
        <w:t>Закон №2698-IX, ухвалений у жовтні 2022 року, скасував більшість обмежень, введених під час воєнного стану, та відновив застосування довоєнних норм обігу сільськогосподарських земель</w:t>
      </w:r>
      <w:r w:rsidRPr="00D6536B">
        <w:rPr>
          <w:color w:val="000000"/>
          <w:sz w:val="27"/>
          <w:szCs w:val="27"/>
        </w:rPr>
        <w:t xml:space="preserve"> [</w:t>
      </w:r>
      <w:r w:rsidRPr="00B46BCA">
        <w:rPr>
          <w:rStyle w:val="ad"/>
          <w:color w:val="000000"/>
          <w:sz w:val="27"/>
          <w:szCs w:val="27"/>
          <w:lang w:val="en-US"/>
        </w:rPr>
        <w:endnoteReference w:id="47"/>
      </w:r>
      <w:r w:rsidRPr="00D6536B">
        <w:rPr>
          <w:color w:val="000000"/>
          <w:sz w:val="27"/>
          <w:szCs w:val="27"/>
        </w:rPr>
        <w:t>]</w:t>
      </w:r>
      <w:r w:rsidRPr="00F150F8">
        <w:rPr>
          <w:color w:val="000000"/>
          <w:sz w:val="27"/>
          <w:szCs w:val="27"/>
        </w:rPr>
        <w:t>.</w:t>
      </w:r>
    </w:p>
    <w:p w:rsidR="00B46BCA" w:rsidRPr="00B46BCA" w:rsidRDefault="00B46BCA" w:rsidP="00B46BCA">
      <w:pPr>
        <w:pStyle w:val="11"/>
        <w:rPr>
          <w:sz w:val="24"/>
          <w:szCs w:val="24"/>
        </w:rPr>
      </w:pPr>
      <w:r w:rsidRPr="00B46BCA">
        <w:t xml:space="preserve">З моменту набрання чинності зазначеним законом та до сьогодні автоматичне поновлення договорів оренди було скасовано, земельні аукціони проводяться для ділянок усіх категорій, а «особливі» процедури передачі земель в оренду можуть бути застосовані знову лише у випадку повторного припинення функціонування Державного земельного кадастру. Отже, можна зазначити, що уповноважені особи </w:t>
      </w:r>
      <w:proofErr w:type="spellStart"/>
      <w:r w:rsidRPr="00B46BCA">
        <w:t>оперативно</w:t>
      </w:r>
      <w:proofErr w:type="spellEnd"/>
      <w:r w:rsidRPr="00B46BCA">
        <w:t xml:space="preserve"> відреагували на зміну обставин: своєчасне припинення роботи реєстрів сприяло забезпеченню інформаційної безпеки, введення нових правил допомогло уникнути продовольчої кризи, а скасування обмежень, введених під час воєнного стану, сприяло поступовому відновленню нормального функціонування земельного ринку.</w:t>
      </w:r>
    </w:p>
    <w:p w:rsidR="00B46BCA" w:rsidRPr="00B46BCA" w:rsidRDefault="00B46BCA" w:rsidP="00B46BCA">
      <w:pPr>
        <w:pStyle w:val="11"/>
      </w:pPr>
      <w:r w:rsidRPr="00B46BCA">
        <w:t xml:space="preserve">Одним із найважливіших питань, що виникли в умовах воєнного стану, стало врегулювання порядку плати за землю. У зв'язку з окупацією частини території України та активними бойовими діями використання значної </w:t>
      </w:r>
      <w:r w:rsidRPr="00B46BCA">
        <w:lastRenderedPageBreak/>
        <w:t>кількості земель стало неможливим, що вимагало швидких законодавчих змін для захисту прав землевласників і землекористувачів.</w:t>
      </w:r>
    </w:p>
    <w:p w:rsidR="00B46BCA" w:rsidRPr="00B46BCA" w:rsidRDefault="00B46BCA" w:rsidP="00B46BCA">
      <w:pPr>
        <w:pStyle w:val="11"/>
      </w:pPr>
      <w:r w:rsidRPr="00B46BCA">
        <w:t>Так, на початку повномасштабного вторгнення Податковий кодекс було доповнено положеннями, які передбачали звільнення від плати за землю на період з 1 березня 2022 року до 31 грудня року, наступного після припинення або скасування воєнного стану. Ця податкова пільга мала б поширюватися на земельні ділянки державної та комунальної власності, розташовані на територіях, де ведуться бойові дії або які тимчасово окуповані росією, а також на землі, визначені обласними державними адміністраціями як забруднені вибухонебезпечними предметами чи на яких є фортифікаційні споруди.</w:t>
      </w:r>
    </w:p>
    <w:p w:rsidR="00B46BCA" w:rsidRPr="00B46BCA" w:rsidRDefault="00B46BCA" w:rsidP="00B46BCA">
      <w:pPr>
        <w:pStyle w:val="11"/>
        <w:rPr>
          <w:color w:val="000000"/>
          <w:sz w:val="27"/>
          <w:szCs w:val="27"/>
        </w:rPr>
      </w:pPr>
      <w:r w:rsidRPr="00B46BCA">
        <w:t xml:space="preserve">Однак реалізувати цю норму у вказаному вигляді було неможливо через відсутність належного підзаконного акту, що визначав би перелік територій, що перебувають в окупації або зоні ведення бойових дій. Це питання було врегульовано лише у квітні 2023 року, коли законом №3050-IX було передбачено можливість використання переліку територій, затвердженого наказом Міністерства з питань реінтеграції тимчасово окупованих територій від 22 грудня 2022 року №309, для податкових цілей </w:t>
      </w:r>
      <w:r w:rsidRPr="00D6536B">
        <w:rPr>
          <w:color w:val="000000"/>
          <w:sz w:val="27"/>
          <w:szCs w:val="27"/>
        </w:rPr>
        <w:t>[</w:t>
      </w:r>
      <w:r w:rsidRPr="00B46BCA">
        <w:rPr>
          <w:rStyle w:val="ad"/>
          <w:color w:val="000000"/>
          <w:sz w:val="27"/>
          <w:szCs w:val="27"/>
          <w:lang w:val="en-US"/>
        </w:rPr>
        <w:endnoteReference w:id="48"/>
      </w:r>
      <w:r w:rsidRPr="00D6536B">
        <w:rPr>
          <w:color w:val="000000"/>
          <w:sz w:val="27"/>
          <w:szCs w:val="27"/>
        </w:rPr>
        <w:t>]</w:t>
      </w:r>
      <w:r w:rsidRPr="00B46BCA">
        <w:rPr>
          <w:color w:val="000000"/>
          <w:sz w:val="27"/>
          <w:szCs w:val="27"/>
        </w:rPr>
        <w:t>.</w:t>
      </w:r>
    </w:p>
    <w:p w:rsidR="00B46BCA" w:rsidRPr="00B46BCA" w:rsidRDefault="00B46BCA" w:rsidP="00B46BCA">
      <w:pPr>
        <w:pStyle w:val="11"/>
        <w:rPr>
          <w:sz w:val="24"/>
          <w:szCs w:val="24"/>
        </w:rPr>
      </w:pPr>
      <w:r w:rsidRPr="00B46BCA">
        <w:t>Законодавець скоротив період, протягом якого дозволяється не виконувати податкові зобов'язання з плати за землю та орендної плати. Відповідно до чинних норм, перебування території, на якій розташована земельна ділянка, у переліку таких, що підлягають звільненню від плати за землю, дає право на звільнення від податкових зобов'язань на таких умовах: для фізичних осіб – на весь 2022 рік, а для юридичних осіб – з 1 березня 2022 до 31 грудня 2022 року.</w:t>
      </w:r>
    </w:p>
    <w:p w:rsidR="00B46BCA" w:rsidRPr="00B46BCA" w:rsidRDefault="00B46BCA" w:rsidP="00B46BCA">
      <w:pPr>
        <w:pStyle w:val="11"/>
      </w:pPr>
      <w:r w:rsidRPr="00B46BCA">
        <w:t>З початку 2023 року тривалість активних бойових дій або перебування території в окупації, на якій розташована земельна ділянка, визначає надання їй відповідного статусу, що передбачає звільнення від нарахування та сплати земельного податку. Пільговий період визначається з першого числа місяця, у якому було визначено дату початку бойових дій або тимчасової окупації, до останнього числа місяця, в якому ці дії завершились.</w:t>
      </w:r>
    </w:p>
    <w:p w:rsidR="00B46BCA" w:rsidRPr="00B46BCA" w:rsidRDefault="00B46BCA" w:rsidP="00B46BCA">
      <w:pPr>
        <w:pStyle w:val="11"/>
        <w:rPr>
          <w:sz w:val="24"/>
          <w:szCs w:val="24"/>
        </w:rPr>
      </w:pPr>
      <w:r w:rsidRPr="00B46BCA">
        <w:lastRenderedPageBreak/>
        <w:t xml:space="preserve">Таким чином, землевласники та орендарі отримали очікуване зменшення податкового навантаження на земельні ділянки, які тимчасово не можуть бути використані. Ухвалений у липні 2023 року закон №3272-IX спрямований на заміну права постійного користування, що </w:t>
      </w:r>
      <w:proofErr w:type="spellStart"/>
      <w:r w:rsidRPr="00B46BCA">
        <w:t>виникло</w:t>
      </w:r>
      <w:proofErr w:type="spellEnd"/>
      <w:r w:rsidRPr="00B46BCA">
        <w:t xml:space="preserve"> ще за радянських часів, на більш сучасні речові права </w:t>
      </w:r>
      <w:r w:rsidRPr="00D6536B">
        <w:rPr>
          <w:color w:val="000000"/>
          <w:sz w:val="27"/>
          <w:szCs w:val="27"/>
          <w:lang w:val="ru-RU"/>
        </w:rPr>
        <w:t>[</w:t>
      </w:r>
      <w:r w:rsidRPr="00B46BCA">
        <w:rPr>
          <w:rStyle w:val="ad"/>
          <w:color w:val="000000"/>
          <w:sz w:val="27"/>
          <w:szCs w:val="27"/>
          <w:lang w:val="en-US"/>
        </w:rPr>
        <w:endnoteReference w:id="49"/>
      </w:r>
      <w:r w:rsidRPr="00D6536B">
        <w:rPr>
          <w:color w:val="000000"/>
          <w:sz w:val="27"/>
          <w:szCs w:val="27"/>
          <w:lang w:val="ru-RU"/>
        </w:rPr>
        <w:t>]</w:t>
      </w:r>
      <w:r w:rsidRPr="00B46BCA">
        <w:rPr>
          <w:color w:val="000000"/>
          <w:sz w:val="27"/>
          <w:szCs w:val="27"/>
        </w:rPr>
        <w:t>.</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Це має бути реалізовано шляхом трансформації державних підприємств, що наразі володіють значною кількістю земельних ділянок на праві постійного користування, в акціонерні товариства або товариства з обмеженою відповідальністю, 100% акцій (часток) яких перебуватимуть у державній власності. Це дозволить набуття прав на оренду відповідних земельних ділянок.</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Таке правове регулювання повинно вирішити кілька завдань, зокрема:</w:t>
      </w:r>
    </w:p>
    <w:p w:rsidR="00B46BCA" w:rsidRPr="00B46BCA" w:rsidRDefault="00B46BCA" w:rsidP="00B46BCA">
      <w:pPr>
        <w:numPr>
          <w:ilvl w:val="0"/>
          <w:numId w:val="6"/>
        </w:numPr>
        <w:tabs>
          <w:tab w:val="clear" w:pos="720"/>
          <w:tab w:val="num" w:pos="1134"/>
        </w:tabs>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sz w:val="28"/>
          <w:szCs w:val="28"/>
        </w:rPr>
        <w:t>збільшити надходження до бюджетів за рахунок суттєвого переважання орендної плати над земельним податком, що сплачують постійні користувачі;</w:t>
      </w:r>
    </w:p>
    <w:p w:rsidR="00B46BCA" w:rsidRPr="00B46BCA" w:rsidRDefault="00B46BCA" w:rsidP="00B46BCA">
      <w:pPr>
        <w:numPr>
          <w:ilvl w:val="0"/>
          <w:numId w:val="6"/>
        </w:numPr>
        <w:tabs>
          <w:tab w:val="clear" w:pos="720"/>
          <w:tab w:val="num" w:pos="1134"/>
        </w:tabs>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sz w:val="28"/>
          <w:szCs w:val="28"/>
        </w:rPr>
        <w:t>зменшити кількість земельних ділянок, які використовуються неефективно або залишаються не використаними.</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Створене внаслідок трансформації державного підприємства господарське товариство, після набуття права оренди, матиме можливість організувати земельні торги та передати відповідну земельну ділянку в суборенду іншому суб'єкту на вигідних умовах.</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У разі, якщо новоутворене господарське товариство протягом року з дня його державної реєстрації не ініціює передачу земельної ділянки в оренду, його речове право припиняється (за винятком випадків, коли на земельній ділянці розташовані об'єкти нерухомого майна, що належать товариству на праві власності), а ділянка (право на оренду) виставляється на аукціон.</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Отже, в разі успішної реалізації вказаних законодавчих ініціатив можна очікувати збільшення площі ефективно використовуваних земель, що сприятиме збільшенню надходжень до місцевих бюджетів.</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lastRenderedPageBreak/>
        <w:t>Незважаючи на певні побоювання, з 1 січня 2024 року в Україні стартував другий етап функціонування ринку землі, що передбачає:</w:t>
      </w:r>
    </w:p>
    <w:p w:rsidR="00B46BCA" w:rsidRPr="00B46BCA" w:rsidRDefault="00B46BCA" w:rsidP="00B46BCA">
      <w:pPr>
        <w:numPr>
          <w:ilvl w:val="0"/>
          <w:numId w:val="7"/>
        </w:numPr>
        <w:tabs>
          <w:tab w:val="clear" w:pos="720"/>
        </w:tabs>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sz w:val="28"/>
          <w:szCs w:val="28"/>
        </w:rPr>
        <w:t>збільшення площі сільськогосподарських земель, які можуть перебувати у власності громадян, з 100 до 10 000 га;</w:t>
      </w:r>
    </w:p>
    <w:p w:rsidR="00B46BCA" w:rsidRPr="00B46BCA" w:rsidRDefault="00B46BCA" w:rsidP="00B46BCA">
      <w:pPr>
        <w:numPr>
          <w:ilvl w:val="0"/>
          <w:numId w:val="7"/>
        </w:numPr>
        <w:tabs>
          <w:tab w:val="clear" w:pos="720"/>
        </w:tabs>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sz w:val="28"/>
          <w:szCs w:val="28"/>
        </w:rPr>
        <w:t xml:space="preserve">надання юридичним особам (тільки українським) права на придбання раніше </w:t>
      </w:r>
      <w:proofErr w:type="spellStart"/>
      <w:r w:rsidRPr="00B46BCA">
        <w:rPr>
          <w:rFonts w:ascii="Times New Roman" w:hAnsi="Times New Roman" w:cs="Times New Roman"/>
          <w:sz w:val="28"/>
          <w:szCs w:val="28"/>
        </w:rPr>
        <w:t>підмораторних</w:t>
      </w:r>
      <w:proofErr w:type="spellEnd"/>
      <w:r w:rsidRPr="00B46BCA">
        <w:rPr>
          <w:rFonts w:ascii="Times New Roman" w:hAnsi="Times New Roman" w:cs="Times New Roman"/>
          <w:sz w:val="28"/>
          <w:szCs w:val="28"/>
        </w:rPr>
        <w:t xml:space="preserve"> земель.</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 xml:space="preserve">За даними </w:t>
      </w:r>
      <w:proofErr w:type="spellStart"/>
      <w:r w:rsidRPr="00B46BCA">
        <w:rPr>
          <w:sz w:val="28"/>
          <w:szCs w:val="28"/>
        </w:rPr>
        <w:t>Держгеокадастру</w:t>
      </w:r>
      <w:proofErr w:type="spellEnd"/>
      <w:r w:rsidRPr="00B46BCA">
        <w:rPr>
          <w:sz w:val="28"/>
          <w:szCs w:val="28"/>
        </w:rPr>
        <w:t xml:space="preserve">, протягом першого етапу ринку землі (з липня 2021 року) було укладено майже 195 900 угод купівлі-продажу загальною площею понад 432 200 га. Унаслідок залучення великих гравців до ринку очікується зростання цін на сільськогосподарську землю та збільшення інвестицій в цей сектор. Експерти Київської школи економіки прогнозують можливість отримання додаткових 1–2,7% ВВП щорічно протягом наступних трьох років </w:t>
      </w:r>
      <w:r w:rsidRPr="00D6536B">
        <w:rPr>
          <w:color w:val="000000"/>
          <w:sz w:val="28"/>
          <w:szCs w:val="28"/>
        </w:rPr>
        <w:t>[</w:t>
      </w:r>
      <w:r w:rsidRPr="00B46BCA">
        <w:rPr>
          <w:rStyle w:val="ad"/>
          <w:color w:val="000000"/>
          <w:sz w:val="28"/>
          <w:szCs w:val="28"/>
          <w:lang w:val="en-US"/>
        </w:rPr>
        <w:endnoteReference w:id="50"/>
      </w:r>
      <w:r w:rsidRPr="00D6536B">
        <w:rPr>
          <w:color w:val="000000"/>
          <w:sz w:val="28"/>
          <w:szCs w:val="28"/>
        </w:rPr>
        <w:t>]</w:t>
      </w:r>
      <w:r w:rsidRPr="00B46BCA">
        <w:rPr>
          <w:color w:val="000000"/>
          <w:sz w:val="28"/>
          <w:szCs w:val="28"/>
        </w:rPr>
        <w:t>.</w:t>
      </w:r>
    </w:p>
    <w:p w:rsidR="00B46BCA" w:rsidRPr="00B46BCA" w:rsidRDefault="00B46BCA" w:rsidP="00B46BCA">
      <w:pPr>
        <w:pStyle w:val="11"/>
      </w:pPr>
      <w:r w:rsidRPr="00B46BCA">
        <w:t>Таким чином, можна стверджувати, що ринок землі в Україні вистояв у надзвичайно складних умовах і продовжує розвиватися, поступово відновлюючи свої довоєнні темпи. Більше ніж два роки Україна відстоює своє право на незалежність і територіальну цілісність. Однак війна не стала перешкодою для розвитку земельних відносин і функціонування ринку землі. Навпаки, вона стала поштовхом до прийняття оперативних і ефективних рішень, спрямованих на вирішення актуальних проблем і реалізацію стратегічних завдань повоєнного відновлення держави.</w:t>
      </w:r>
    </w:p>
    <w:p w:rsidR="00B46BCA" w:rsidRPr="00B46BCA" w:rsidRDefault="00B46BCA" w:rsidP="00B46BCA">
      <w:pPr>
        <w:pStyle w:val="11"/>
      </w:pPr>
    </w:p>
    <w:p w:rsidR="00B46BCA" w:rsidRPr="00B46BCA" w:rsidRDefault="00B46BCA" w:rsidP="00B46BCA">
      <w:pPr>
        <w:pStyle w:val="11"/>
      </w:pPr>
    </w:p>
    <w:p w:rsidR="00B46BCA" w:rsidRPr="00B46BCA" w:rsidRDefault="00B46BCA" w:rsidP="00B46BCA">
      <w:pPr>
        <w:pStyle w:val="1"/>
        <w:spacing w:before="0" w:line="360" w:lineRule="auto"/>
        <w:ind w:firstLine="709"/>
        <w:jc w:val="both"/>
        <w:rPr>
          <w:rFonts w:ascii="Times New Roman" w:hAnsi="Times New Roman" w:cs="Times New Roman"/>
          <w:b/>
          <w:color w:val="auto"/>
          <w:sz w:val="28"/>
          <w:szCs w:val="28"/>
        </w:rPr>
      </w:pPr>
      <w:bookmarkStart w:id="33" w:name="_Toc187523571"/>
      <w:r w:rsidRPr="00B46BCA">
        <w:rPr>
          <w:rFonts w:ascii="Times New Roman" w:hAnsi="Times New Roman" w:cs="Times New Roman"/>
          <w:b/>
          <w:color w:val="auto"/>
          <w:sz w:val="28"/>
          <w:szCs w:val="28"/>
        </w:rPr>
        <w:t>3.2 Закордонний досвід регулювання земельної ренти та його застосування в Україні</w:t>
      </w:r>
      <w:bookmarkEnd w:id="33"/>
    </w:p>
    <w:p w:rsidR="00B46BCA" w:rsidRPr="00B46BCA" w:rsidRDefault="00B46BCA" w:rsidP="00B46BCA">
      <w:pPr>
        <w:spacing w:after="0" w:line="360" w:lineRule="auto"/>
        <w:ind w:firstLine="709"/>
        <w:jc w:val="both"/>
        <w:rPr>
          <w:rFonts w:ascii="Times New Roman" w:hAnsi="Times New Roman" w:cs="Times New Roman"/>
          <w:sz w:val="28"/>
          <w:szCs w:val="28"/>
        </w:rPr>
      </w:pP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 xml:space="preserve">Держави-члени мають право самостійно регулювати земельні угоди на національному законодавчому рівні. Водночас, усі механізми регулювання в ЄС обертаються навколо принципів вільного переміщення товарів, послуг, капіталу та робочої сили. Використання сільськогосподарських земель </w:t>
      </w:r>
      <w:r w:rsidRPr="00B46BCA">
        <w:rPr>
          <w:rFonts w:ascii="Times New Roman" w:hAnsi="Times New Roman" w:cs="Times New Roman"/>
          <w:sz w:val="28"/>
          <w:szCs w:val="28"/>
        </w:rPr>
        <w:lastRenderedPageBreak/>
        <w:t>підпадає під принцип вільного руху капіталу. Учасники ринку земель не можуть зазнавати будь-яких обмежень щодо руху капіталу між державами-членами ЄС. Суд Європейського Союзу (СЕС) здійснює нагляд за дотриманням цього принципу під час реалізації внутрішніх національних правил, що регулюють оренду та використання землі державами-членами ЄС.</w:t>
      </w:r>
    </w:p>
    <w:p w:rsidR="00B46BCA" w:rsidRPr="00B46BCA" w:rsidRDefault="00B46BCA" w:rsidP="00B46BCA">
      <w:pPr>
        <w:pStyle w:val="11"/>
      </w:pPr>
      <w:r w:rsidRPr="00B46BCA">
        <w:t>Регулювання земельної ренти в Європейському Союзі (ЄС) визначається складною взаємодією директив на рівні ЄС, національної політики та регіональних підходів. Ці правила спрямовані на досягнення балансу між інтересами землевласників, орендарів та суспільства загалом. Крім того, вони віддають пріоритет сталому землекористуванню, підвищенню продуктивності сільського господарства та пом'якшенню соціально-економічної нерівності.</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Ключові засади регулювання земельної ренти в ЄС</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1. Національний суверенітет у межах ЄС. У той час як ЄС надає всеосяжні керівні принципи землекористування та управління – насамперед через Єдину сільськогосподарську політику (ЄАП), конкретні механізми регулювання земельної ренти підпадають під юрисдикцію окремих держав-членів. Кожна держава-член формулює політику, яка відповідає її унікальним правовим традиціям, соціально-економічним контекстам та моделям землеволодіння та розподілу. Такий підхід гарантує, що регулювання земельної ренти враховує різні характеристики сільськогосподарського та несільськогосподарського землекористування по всьому Союзу.</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2. Цілі стійкості та охорони навколишнього середовища. Правила земельної ренти по всьому ЄС часто включають мети, пов'язані зі стійкістю. Політика ЄС заохочує практику землекористування, сумісну з охороною навколишнього середовища, збереженням біорізноманіття та пом'якшенням наслідків зміни клімату. Наприклад, субсидії та фінансові стимули, які пропонуються в рамках CAP, пов'язані з дотриманням екологічно відповідальної практики. Такі заходи опосередковано впливають на умови та витрати, пов'язані з договорами оренди землі.</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lastRenderedPageBreak/>
        <w:t>3. Ринкові та регулюючі втручання. Хоча вартість оренди землі в багатьох державах-членах ЄС визначається динамікою ринку, урядові втручання відіграють вирішальну роль у запобіганні експлуататорським практикам та забезпеченні рівного доступу до землі. Ці втручання можуть включати обмеження на зростання орендної плати, встановлення мінімальних строків оренди та створення механізмів вирішення спорів між орендодавцями та орендарями.</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4. Захист прав орендарів. Численні держави-члени ЄС запровадили правові рамки для захисту прав фермерів-орендарів та інших землекористувачів. Такий захист часто охоплює положення про довгострокову оренду, фінансову компенсацію за покращення, внесені в орендовану землю, та переважні права, які дозволяють орендарям першими купувати орендовану землю, якщо її буде виставлено на продаж. Ці заходи сприяють стабільності та життєздатності сільськогосподарських підприємств, керованих орендарями.</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 xml:space="preserve">5. Політика консолідації та фрагментації земель. У регіонах, де фрагментація земель знижує ефективність сільського господарства, держави-члени регулюють орендну плату за землю, щоб стимулювати консолідацію. Політика, пов'язана з орендою, може спонукати землевласників об'єднувати дрібніші ділянки для колективних чи великомасштабних фермерських ініціатив. Такі заходи спрямовані на оптимізацію землекористування, підвищення сільськогосподарського виробництва та зниження неефективності, пов'язаної із </w:t>
      </w:r>
      <w:proofErr w:type="spellStart"/>
      <w:r w:rsidRPr="00B46BCA">
        <w:rPr>
          <w:rFonts w:ascii="Times New Roman" w:hAnsi="Times New Roman" w:cs="Times New Roman"/>
          <w:sz w:val="28"/>
          <w:szCs w:val="28"/>
        </w:rPr>
        <w:t>фрагментованою</w:t>
      </w:r>
      <w:proofErr w:type="spellEnd"/>
      <w:r w:rsidRPr="00B46BCA">
        <w:rPr>
          <w:rFonts w:ascii="Times New Roman" w:hAnsi="Times New Roman" w:cs="Times New Roman"/>
          <w:sz w:val="28"/>
          <w:szCs w:val="28"/>
        </w:rPr>
        <w:t xml:space="preserve"> власністю на землю.</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За роки своєї багаторічної діяльності Суд Європейського Союзу створив багато прецедентів щодо регулювання земельних відносин:</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 xml:space="preserve">1. Регулювання цін. Суд ЄС підтверджує можливість державного регулювання цін на сільськогосподарські землі, якщо такі заходи засновані на об'єктивних, недискримінаційних та точних критеріях, а регулювання цін спрямоване на запобігання надмірній спекуляції землею. Також </w:t>
      </w:r>
      <w:proofErr w:type="spellStart"/>
      <w:r w:rsidRPr="00B46BCA">
        <w:rPr>
          <w:rFonts w:ascii="Times New Roman" w:hAnsi="Times New Roman" w:cs="Times New Roman"/>
          <w:sz w:val="28"/>
          <w:szCs w:val="28"/>
        </w:rPr>
        <w:t>уточнюється</w:t>
      </w:r>
      <w:proofErr w:type="spellEnd"/>
      <w:r w:rsidRPr="00B46BCA">
        <w:rPr>
          <w:rFonts w:ascii="Times New Roman" w:hAnsi="Times New Roman" w:cs="Times New Roman"/>
          <w:sz w:val="28"/>
          <w:szCs w:val="28"/>
        </w:rPr>
        <w:t xml:space="preserve">, </w:t>
      </w:r>
      <w:r w:rsidRPr="00B46BCA">
        <w:rPr>
          <w:rFonts w:ascii="Times New Roman" w:hAnsi="Times New Roman" w:cs="Times New Roman"/>
          <w:sz w:val="28"/>
          <w:szCs w:val="28"/>
        </w:rPr>
        <w:lastRenderedPageBreak/>
        <w:t>що такі заходи є крайнім заходом, який застосовується лише за відсутності альтернативних, менш обмежувальних інструментів.</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2. Боротьба з агресивною експансією. При продажі сільськогосподарських земельних ділянок держава має проводити різницю між «ринковою вартістю» ділянки та «найвищою ціною пропозиції» на прилюдних торгах. Держава не може схвалити продаж ділянки за найвищою ціною пропозиції, якщо пропозиція не відповідає фактичній вартості ділянки.</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3. Вимога самостійної сільськогосподарської діяльності. Ця вимога неприпустима, оскільки суперечить принципу вільного руху капіталу. Держава не може накладати загальнонаціональну вимогу обов'язкової самостійної сільськогосподарської діяльності на суб'єктів, які бажають придбати сільськогосподарські землі. Проте вимога «збереження земель для сільськогосподарського використання» вважається законною.</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4. Вимога проживання покупця поблизу земельної ділянки. Така вимога також розглядається як невідповідне обмеження вільного руху капіталу і тому є неприпустимим.</w:t>
      </w:r>
    </w:p>
    <w:p w:rsidR="00B46BCA" w:rsidRPr="00B46BCA" w:rsidRDefault="00B46BCA" w:rsidP="00B46BCA">
      <w:pPr>
        <w:spacing w:after="0" w:line="360" w:lineRule="auto"/>
        <w:ind w:firstLine="709"/>
        <w:jc w:val="both"/>
        <w:rPr>
          <w:rFonts w:ascii="Times New Roman" w:hAnsi="Times New Roman" w:cs="Times New Roman"/>
          <w:sz w:val="28"/>
          <w:szCs w:val="28"/>
        </w:rPr>
      </w:pPr>
      <w:r w:rsidRPr="00B46BCA">
        <w:rPr>
          <w:rFonts w:ascii="Times New Roman" w:hAnsi="Times New Roman" w:cs="Times New Roman"/>
          <w:sz w:val="28"/>
          <w:szCs w:val="28"/>
        </w:rPr>
        <w:t>5. Встановлення меж придбання землі. Судова практика CJEU не встановила жодних керівних засад для встановлення меж площі земельної власності. Встановлення верхніх меж розміру землі, яку можна купити чи утримувати, вважається обмеженням принципу вільного руху капіталу.</w:t>
      </w:r>
    </w:p>
    <w:p w:rsidR="00B46BCA" w:rsidRPr="00B46BCA" w:rsidRDefault="00B46BCA" w:rsidP="00B46BCA">
      <w:pPr>
        <w:pStyle w:val="11"/>
      </w:pPr>
      <w:r w:rsidRPr="00B46BCA">
        <w:t>По суті, ухвали Суду Європейського Союзу виконують функцію фільтра, що визначає допустимі межі норм та обмежень, які держави-члени ЄС можуть застосовувати на національному рівні у сфері регулювання земельних відносин.</w:t>
      </w:r>
    </w:p>
    <w:p w:rsidR="00B46BCA" w:rsidRPr="00B46BCA" w:rsidRDefault="00B46BCA" w:rsidP="00B46BCA">
      <w:pPr>
        <w:pStyle w:val="11"/>
      </w:pPr>
      <w:r w:rsidRPr="00B46BCA">
        <w:t xml:space="preserve">Отже, багаторічна практика Суду Європейського Союзу суттєво вплинула на формування принципів і підходів до регулювання земельних відносин у країнах-членах ЄС. Рішення Суду виконують роль важливого інструмента, який встановлює межі допустимих заходів державного регулювання, забезпечуючи їх відповідність принципам Європейського Союзу. Суд ЄС підтвердив можливість державного втручання у питання </w:t>
      </w:r>
      <w:r w:rsidRPr="00B46BCA">
        <w:lastRenderedPageBreak/>
        <w:t xml:space="preserve">регулювання цін на землю за умов об’єктивності, </w:t>
      </w:r>
      <w:proofErr w:type="spellStart"/>
      <w:r w:rsidRPr="00B46BCA">
        <w:t>недискримінаційності</w:t>
      </w:r>
      <w:proofErr w:type="spellEnd"/>
      <w:r w:rsidRPr="00B46BCA">
        <w:t xml:space="preserve"> та обґрунтованості таких заходів. При цьому наголошується, що такі заходи повинні бути крайніми і застосовуватися лише за відсутності менш обмежувальних альтернатив. Водночас Суд суворо дотримується захисту принципу вільного руху капіталу, обмежуючи національні вимоги, які встановлюють надмірні обмеження для покупців сільськогосподарських земель. Таким чином, рішення Суду ЄС сприяють створенню рівноваги між необхідністю державного контролю у сфері земельних відносин і забезпеченням основних свобод внутрішнього ринку Європейського Союзу. Вони визначають правові рамки для членів ЄС, які намагаються запобігти надмірній спекуляції землею, захистити її сільськогосподарське використання та водночас уникнути обмеження економічних свобод.</w:t>
      </w:r>
    </w:p>
    <w:p w:rsidR="00B46BCA" w:rsidRPr="00B46BCA" w:rsidRDefault="00B46BCA" w:rsidP="00B46BCA">
      <w:pPr>
        <w:pStyle w:val="11"/>
      </w:pPr>
      <w:r w:rsidRPr="00B46BCA">
        <w:t>Забезпечення ефективного регулювання орендної плати за землю в Європейському Союзі (ЄС) є складним завданням, що вимагає врахування взаємодії економічних, соціальних та екологічних факторів. Це завдання супроводжується низкою проблем, які формують контекст для розробки політик і нормативних актів у цій сфері.</w:t>
      </w:r>
    </w:p>
    <w:p w:rsidR="00B46BCA" w:rsidRPr="00B46BCA" w:rsidRDefault="00B46BCA" w:rsidP="00B46BCA">
      <w:pPr>
        <w:pStyle w:val="11"/>
      </w:pPr>
      <w:r w:rsidRPr="00B46BCA">
        <w:t>Однією з основних проблем є баланс між ринковими механізмами та соціальною справедливістю. Надмірне втручання держави у регулювання може спричинити зменшення інвестиційної привабливості земельних ресурсів і обмежити економічну ефективність. Водночас недостатній контроль здатен провокувати експлуатацію земельних ресурсів, нерівномірний розподіл землі та загострення соціальної нерівності. Таким чином, регуляторні механізми мають сприяти гармонізації економічних інтересів із соціальними імперативами.</w:t>
      </w:r>
    </w:p>
    <w:p w:rsidR="00B46BCA" w:rsidRPr="00B46BCA" w:rsidRDefault="00B46BCA" w:rsidP="00B46BCA">
      <w:pPr>
        <w:pStyle w:val="11"/>
      </w:pPr>
      <w:r w:rsidRPr="00B46BCA">
        <w:t xml:space="preserve">Швидкі процеси урбанізації та зростання конкуренції за використання землі створюють додатковий тиск на орендні відносини. Розширення міської інфраструктури часто призводить до підвищення орендної плати за землю, що, у свою чергу, ускладнює підтримку сільськогосподарської діяльності, </w:t>
      </w:r>
      <w:r w:rsidRPr="00B46BCA">
        <w:lastRenderedPageBreak/>
        <w:t>особливо в приміських регіонах. Це явище є однією з причин втрати аграрної життєздатності, що негативно впливає на розвиток сільських територій.</w:t>
      </w:r>
    </w:p>
    <w:p w:rsidR="00B46BCA" w:rsidRPr="00B46BCA" w:rsidRDefault="00B46BCA" w:rsidP="00B46BCA">
      <w:pPr>
        <w:pStyle w:val="11"/>
      </w:pPr>
      <w:r w:rsidRPr="00B46BCA">
        <w:t>Важливим викликом є також транскордонні відмінності в регулюванні орендних відносин між країнами-членами ЄС. Різні підходи до оренди землі створюють бар’єри для міжнародних інвесторів та орендарів, особливо у прикордонних регіонах, де правила оренди можуть суттєво відрізнятися. Це ускладнює реалізацію єдиного ринку землі, що є стратегічною метою ЄС.</w:t>
      </w:r>
    </w:p>
    <w:p w:rsidR="00B46BCA" w:rsidRPr="00B46BCA" w:rsidRDefault="00B46BCA" w:rsidP="00B46BCA">
      <w:pPr>
        <w:pStyle w:val="11"/>
      </w:pPr>
      <w:r w:rsidRPr="00B46BCA">
        <w:t>Узгодження політик оренди землі з цілями сталого розвитку, особливо у контексті Зеленої угоди ЄС, додає нового рівня складності. Регуляторні заходи мають враховувати необхідність екологічної стійкості, з одного боку, та забезпечення економічної вигоди для землевласників і орендарів – з іншого. Збалансоване впровадження стимулів та механізмів контролю є ключовим для досягнення цих цілей.</w:t>
      </w:r>
    </w:p>
    <w:p w:rsidR="00B46BCA" w:rsidRPr="00B46BCA" w:rsidRDefault="00B46BCA" w:rsidP="00B46BCA">
      <w:pPr>
        <w:pStyle w:val="11"/>
      </w:pPr>
      <w:r w:rsidRPr="00B46BCA">
        <w:t>Регулювання орендної плати за землю в ЄС відображає прагнення досягти рівноваги між ринковою динамікою, захистом прав орендарів та забезпеченням екологічної стійкості. Хоча національні підходи залишаються різноманітними, загальна нормативно-правова база ЄС відіграє об’єднавчу роль, сприяючи координації зусиль. У перспективі важливу роль у вдосконаленні регулювання можуть відіграти цифрові технології та інструменти аналізу даних. Їх впровадження здатне забезпечити більшу ефективність, прозорість та справедливість у системі управління земельними ресурсами в межах ЄС.</w:t>
      </w:r>
    </w:p>
    <w:p w:rsidR="00B46BCA" w:rsidRPr="00B46BCA" w:rsidRDefault="00B46BCA" w:rsidP="00B46BCA">
      <w:pPr>
        <w:pStyle w:val="11"/>
      </w:pPr>
      <w:r w:rsidRPr="00B46BCA">
        <w:t xml:space="preserve">Окрім регулювання на загальноєвропейському рівні, існують окремі національні підходи до регулювання орендної плати за землю, що відображають різноманітність економічних, соціальних та правових систем різних країн, що формують специфіку земельних відносин у контексті національних особливостей. </w:t>
      </w:r>
    </w:p>
    <w:p w:rsidR="00B46BCA" w:rsidRPr="00B46BCA" w:rsidRDefault="00B46BCA" w:rsidP="00B46BCA">
      <w:pPr>
        <w:pStyle w:val="11"/>
      </w:pPr>
      <w:r w:rsidRPr="00B46BCA">
        <w:t xml:space="preserve">У Німеччині нормативна база регулювання оренди земельних ділянок базується на положеннях Цивільного кодексу, який забезпечує значний захист прав фермерів-орендарів. Особливістю німецької моделі є перевага </w:t>
      </w:r>
      <w:r w:rsidRPr="00B46BCA">
        <w:lastRenderedPageBreak/>
        <w:t>довгострокових договорів оренди, що сприяє стабільності сільськогосподарської діяльності та знижує ризики для орендарів. Крім того, механізми обмеження зростання орендної плати мінімізують фінансовий тиск на фермерів, забезпечуючи справедливість і передбачуваність умов оренди.</w:t>
      </w:r>
    </w:p>
    <w:p w:rsidR="00B46BCA" w:rsidRPr="00B46BCA" w:rsidRDefault="00B46BCA" w:rsidP="00B46BCA">
      <w:pPr>
        <w:pStyle w:val="11"/>
      </w:pPr>
      <w:r w:rsidRPr="00B46BCA">
        <w:t xml:space="preserve">Франція застосовує орієнтований на орендарів підхід через систему </w:t>
      </w:r>
      <w:proofErr w:type="spellStart"/>
      <w:r w:rsidRPr="00B46BCA">
        <w:t>baux</w:t>
      </w:r>
      <w:proofErr w:type="spellEnd"/>
      <w:r w:rsidRPr="00B46BCA">
        <w:t xml:space="preserve"> </w:t>
      </w:r>
      <w:proofErr w:type="spellStart"/>
      <w:r w:rsidRPr="00B46BCA">
        <w:t>ruraux</w:t>
      </w:r>
      <w:proofErr w:type="spellEnd"/>
      <w:r w:rsidRPr="00B46BCA">
        <w:t>, яка регулює оренду сільськогосподарських земель. Згідно з цими положеннями, оренда здійснюється на фіксований термін, що сприяє стабільності для фермерів-орендарів. Орендна плата визначається з урахуванням індексів продуктивності сільського господарства та динаміки місцевого ринку, забезпечуючи баланс між інтересами землевласників та доступністю землі для орендарів.</w:t>
      </w:r>
    </w:p>
    <w:p w:rsidR="00B46BCA" w:rsidRPr="00B46BCA" w:rsidRDefault="00B46BCA" w:rsidP="00B46BCA">
      <w:pPr>
        <w:pStyle w:val="11"/>
      </w:pPr>
      <w:r w:rsidRPr="00B46BCA">
        <w:t>У Франції запроваджено спеціальну систему управління земельними ресурсами AFAFE, яка замінює процедуру консолідації. Система впроваджується та фінансується муніципалітетами, які розробляють проекти консолідації та можуть ініціювати примусове відчуження земель. Землевласники можуть заперечувати такі рішення у суді.</w:t>
      </w:r>
    </w:p>
    <w:p w:rsidR="00B46BCA" w:rsidRPr="00B46BCA" w:rsidRDefault="00B46BCA" w:rsidP="00B46BCA">
      <w:pPr>
        <w:pStyle w:val="11"/>
      </w:pPr>
      <w:r w:rsidRPr="00B46BCA">
        <w:t>У Нідерландах регулювання орендної плати інтегрується в політику регіонального планування, яка акцентує увагу на сталому використанні земельних ресурсів. Договори оренди часто включають положення, що заохочують екологічно відповідальні методи ведення господарства, таким чином гармонізуючи економічні цілі з екологічними пріоритетами держави.</w:t>
      </w:r>
    </w:p>
    <w:p w:rsidR="00B46BCA" w:rsidRPr="00B46BCA" w:rsidRDefault="00B46BCA" w:rsidP="00B46BCA">
      <w:pPr>
        <w:pStyle w:val="11"/>
      </w:pPr>
      <w:r w:rsidRPr="00B46BCA">
        <w:t>Країни Східної Європи, зокрема Польща, адаптували свої системи орендних відносин до соціально-економічних реалій перехідного періоду. Регулювання оренди землі в цих країнах спрямоване на підтримку соціальної рівності та розвиток сільських територій. Політика в цій сфері поєднує елементи лібералізації ринку з механізмами, що забезпечують більш справедливий розподіл ресурсів та сприяють залученню інвестицій у сільське господарство.</w:t>
      </w:r>
    </w:p>
    <w:p w:rsidR="00B46BCA" w:rsidRPr="00B46BCA" w:rsidRDefault="00B46BCA" w:rsidP="00B46BCA">
      <w:pPr>
        <w:pStyle w:val="11"/>
      </w:pPr>
      <w:r w:rsidRPr="00B46BCA">
        <w:t xml:space="preserve">Таким чином, національні підходи до регулювання орендної плати за землю є відображенням пріоритетів державної політики, яка враховує </w:t>
      </w:r>
      <w:r w:rsidRPr="00B46BCA">
        <w:lastRenderedPageBreak/>
        <w:t>специфіку земельних відносин, економічні умови та соціальні виклики кожної країни. Це дозволяє створити умови для ефективного та справедливого використання земельних ресурсів, забезпечуючи баланс між інтересами орендарів і землевласників.</w:t>
      </w:r>
    </w:p>
    <w:p w:rsidR="00B46BCA" w:rsidRPr="00B46BCA" w:rsidRDefault="00B46BCA" w:rsidP="00B46BCA">
      <w:pPr>
        <w:spacing w:after="0" w:line="360" w:lineRule="auto"/>
        <w:ind w:firstLine="709"/>
        <w:jc w:val="both"/>
        <w:rPr>
          <w:rFonts w:ascii="Times New Roman" w:hAnsi="Times New Roman" w:cs="Times New Roman"/>
          <w:sz w:val="28"/>
          <w:szCs w:val="28"/>
        </w:rPr>
      </w:pPr>
    </w:p>
    <w:p w:rsidR="00B46BCA" w:rsidRPr="00B46BCA" w:rsidRDefault="00B46BCA" w:rsidP="00B46BCA">
      <w:pPr>
        <w:spacing w:after="0" w:line="360" w:lineRule="auto"/>
        <w:ind w:firstLine="709"/>
        <w:jc w:val="both"/>
        <w:rPr>
          <w:rFonts w:ascii="Times New Roman" w:hAnsi="Times New Roman" w:cs="Times New Roman"/>
          <w:sz w:val="28"/>
          <w:szCs w:val="28"/>
        </w:rPr>
      </w:pPr>
    </w:p>
    <w:p w:rsidR="00B46BCA" w:rsidRPr="00B46BCA" w:rsidRDefault="00B46BCA" w:rsidP="00B46BCA">
      <w:pPr>
        <w:pStyle w:val="1"/>
        <w:spacing w:before="0" w:line="360" w:lineRule="auto"/>
        <w:ind w:firstLine="709"/>
        <w:jc w:val="both"/>
        <w:rPr>
          <w:rFonts w:ascii="Times New Roman" w:hAnsi="Times New Roman" w:cs="Times New Roman"/>
          <w:b/>
          <w:color w:val="auto"/>
          <w:sz w:val="28"/>
          <w:szCs w:val="28"/>
        </w:rPr>
      </w:pPr>
      <w:bookmarkStart w:id="34" w:name="_Toc187523572"/>
      <w:r w:rsidRPr="00B46BCA">
        <w:rPr>
          <w:rFonts w:ascii="Times New Roman" w:hAnsi="Times New Roman" w:cs="Times New Roman"/>
          <w:b/>
          <w:color w:val="auto"/>
          <w:sz w:val="28"/>
          <w:szCs w:val="28"/>
        </w:rPr>
        <w:t>3.3. Пропозиції щодо реформування земельного законодавства для підвищення добробуту громадян</w:t>
      </w:r>
      <w:bookmarkEnd w:id="34"/>
      <w:r w:rsidRPr="00B46BCA">
        <w:rPr>
          <w:rFonts w:ascii="Times New Roman" w:hAnsi="Times New Roman" w:cs="Times New Roman"/>
          <w:b/>
          <w:color w:val="auto"/>
          <w:sz w:val="28"/>
          <w:szCs w:val="28"/>
        </w:rPr>
        <w:t xml:space="preserve">  </w:t>
      </w:r>
    </w:p>
    <w:p w:rsidR="00B46BCA" w:rsidRPr="00B46BCA" w:rsidRDefault="00B46BCA" w:rsidP="00B46BCA">
      <w:pPr>
        <w:spacing w:after="0" w:line="360" w:lineRule="auto"/>
        <w:ind w:firstLine="709"/>
        <w:jc w:val="both"/>
        <w:rPr>
          <w:rFonts w:ascii="Times New Roman" w:hAnsi="Times New Roman" w:cs="Times New Roman"/>
          <w:sz w:val="28"/>
          <w:szCs w:val="28"/>
        </w:rPr>
      </w:pPr>
    </w:p>
    <w:p w:rsidR="00B46BCA" w:rsidRPr="00B46BCA" w:rsidRDefault="00B46BCA" w:rsidP="00B46BCA">
      <w:pPr>
        <w:spacing w:after="0" w:line="360" w:lineRule="auto"/>
        <w:ind w:firstLine="709"/>
        <w:jc w:val="both"/>
        <w:rPr>
          <w:rFonts w:ascii="Times New Roman" w:hAnsi="Times New Roman" w:cs="Times New Roman"/>
          <w:sz w:val="28"/>
          <w:szCs w:val="28"/>
        </w:rPr>
      </w:pPr>
    </w:p>
    <w:p w:rsidR="00B46BCA" w:rsidRPr="00B46BCA" w:rsidRDefault="00B46BCA" w:rsidP="00B46BCA">
      <w:pPr>
        <w:pStyle w:val="11"/>
      </w:pPr>
      <w:r w:rsidRPr="00B46BCA">
        <w:t>На основі аналізу практик регулювання орендної плати за землю в країнах Європейського Союзу, Україні варто врахувати наступні рекомендації для вдосконалення земельних відносин:</w:t>
      </w:r>
    </w:p>
    <w:p w:rsidR="00B46BCA" w:rsidRPr="00B46BCA" w:rsidRDefault="00B46BCA" w:rsidP="00B46BCA">
      <w:pPr>
        <w:pStyle w:val="11"/>
      </w:pPr>
      <w:r w:rsidRPr="00B46BCA">
        <w:t>1. Запровадження механізмів довгострокової оренди. Україні варто врахувати досвід Німеччини, де довгострокові договори оренди сприяють стабільності сільськогосподарського сектору. Довгострокові угоди можуть зменшити ризики для фермерів-орендарів, стимулюючи їх до раціонального використання земель та інвестицій у покращення агротехнічних показників.</w:t>
      </w:r>
    </w:p>
    <w:p w:rsidR="00B46BCA" w:rsidRPr="00B46BCA" w:rsidRDefault="00B46BCA" w:rsidP="00B46BCA">
      <w:pPr>
        <w:pStyle w:val="11"/>
      </w:pPr>
      <w:r w:rsidRPr="00B46BCA">
        <w:t>2. Розробка прозорих механізмів визначення орендної плати. Як це реалізовано у Франції, орендна плата має базуватися на економічно обґрунтованих показниках, таких як продуктивність сільського господарства та динаміка місцевого ринку. Це дозволить уникнути як надмірного фінансового тиску на орендарів, так і недооцінки вартості земельних ресурсів.</w:t>
      </w:r>
    </w:p>
    <w:p w:rsidR="00B46BCA" w:rsidRPr="00B46BCA" w:rsidRDefault="00B46BCA" w:rsidP="00B46BCA">
      <w:pPr>
        <w:pStyle w:val="11"/>
      </w:pPr>
      <w:r w:rsidRPr="00B46BCA">
        <w:t>3. Стимулювання екологічно відповідального землекористування. Нідерландська модель інтеграції політики оренди в регіональне планування, орієнтована на сталий розвиток, може стати прикладом для України. У договори оренди варто включати положення, що заохочують екологічні практики, такі як збереження родючості ґрунтів, зменшення ерозії та використання органічних технологій.</w:t>
      </w:r>
    </w:p>
    <w:p w:rsidR="00B46BCA" w:rsidRPr="00B46BCA" w:rsidRDefault="00B46BCA" w:rsidP="00B46BCA">
      <w:pPr>
        <w:pStyle w:val="11"/>
      </w:pPr>
      <w:r w:rsidRPr="00B46BCA">
        <w:lastRenderedPageBreak/>
        <w:t>4. Гармонізація правової бази для захисту прав орендарів і землевласників. Досвід Польщі в адаптації орендних відносин до соціально-економічних умов перехідного періоду може бути корисним для України. Розробка правових інструментів, які забезпечують баланс між лібералізацією ринку та соціальною справедливістю, сприятиме рівноправному доступу до земельних ресурсів.</w:t>
      </w:r>
    </w:p>
    <w:p w:rsidR="00B46BCA" w:rsidRPr="00B46BCA" w:rsidRDefault="00B46BCA" w:rsidP="00B46BCA">
      <w:pPr>
        <w:pStyle w:val="11"/>
      </w:pPr>
      <w:r w:rsidRPr="00B46BCA">
        <w:t>5. Розвиток системи індексації орендної плати. Варто передбачити механізм регулярної індексації орендної плати, як це практикується у Франції. Це дозволить уникнути конфліктів між орендарями і землевласниками, враховуючи зміну економічних умов, таких як інфляція чи зростання вартості сільськогосподарської продукції.</w:t>
      </w:r>
    </w:p>
    <w:p w:rsidR="00B46BCA" w:rsidRPr="00B46BCA" w:rsidRDefault="00B46BCA" w:rsidP="00B46BCA">
      <w:pPr>
        <w:pStyle w:val="11"/>
      </w:pPr>
      <w:r w:rsidRPr="00B46BCA">
        <w:t>6. Використання цифрових технологій у регулюванні земельних відносин. Інтеграція сучасних цифрових інструментів у сфері управління земельними ресурсами, таких як платформи для укладання договорів оренди та моніторингу використання земель, може значно підвищити прозорість і ефективність системи.</w:t>
      </w:r>
    </w:p>
    <w:p w:rsidR="00B46BCA" w:rsidRPr="00B46BCA" w:rsidRDefault="00B46BCA" w:rsidP="00B46BCA">
      <w:pPr>
        <w:pStyle w:val="11"/>
      </w:pPr>
      <w:r w:rsidRPr="00B46BCA">
        <w:t>7. Підтримка сільськогосподарських кооперативів. Сприяння розвитку кооперативного землекористування, як це реалізовано в низці країн ЄС, може допомогти дрібним фермерам отримувати доступ до земельних ресурсів на справедливих умовах і підвищувати їхню конкурентоспроможність.</w:t>
      </w:r>
    </w:p>
    <w:p w:rsidR="00B46BCA" w:rsidRPr="00B46BCA" w:rsidRDefault="00B46BCA" w:rsidP="00B46BCA">
      <w:pPr>
        <w:pStyle w:val="11"/>
      </w:pPr>
      <w:r w:rsidRPr="00B46BCA">
        <w:t>Імплементація цих рекомендацій дозволить Україні не лише оптимізувати систему орендних відносин, але й забезпечити сталість у розвитку сільського господарства, соціальну справедливість та інтеграцію з європейським правовим полем.</w:t>
      </w:r>
    </w:p>
    <w:p w:rsidR="00B46BCA" w:rsidRPr="00B46BCA" w:rsidRDefault="00B46BCA" w:rsidP="00B46BCA">
      <w:pPr>
        <w:pStyle w:val="11"/>
      </w:pPr>
      <w:r w:rsidRPr="00B46BCA">
        <w:t xml:space="preserve">Реформування ринку землі повинно сприяти ефективному використанню земельних ресурсів і сприяти їх раціональному використанню. Для цього необхідна участь держави в регулюванні використання земельних ресурсів, причому не тільки на організаційно-правовому рівні, але й як активного земельного власника, що стимулює ринкові процеси і є учасником. Земельні перетворення повинні здійснюватися цивілізованим шляхом на </w:t>
      </w:r>
      <w:r w:rsidRPr="00B46BCA">
        <w:lastRenderedPageBreak/>
        <w:t xml:space="preserve">основі надійного науково обґрунтованого і практично апробованого економічного і правового механізму. </w:t>
      </w:r>
    </w:p>
    <w:p w:rsidR="00B46BCA" w:rsidRPr="00B46BCA" w:rsidRDefault="00B46BCA" w:rsidP="00B46BCA">
      <w:pPr>
        <w:pStyle w:val="11"/>
      </w:pPr>
      <w:r w:rsidRPr="00B46BCA">
        <w:t xml:space="preserve">Ситуація, яка сьогодні склалася у сфері земельних відносин, пов’язана з відсутністю чіткої державної політики у питаннях: </w:t>
      </w:r>
    </w:p>
    <w:p w:rsidR="00B46BCA" w:rsidRPr="00B46BCA" w:rsidRDefault="00B46BCA" w:rsidP="00B46BCA">
      <w:pPr>
        <w:pStyle w:val="11"/>
      </w:pPr>
      <w:r w:rsidRPr="00B46BCA">
        <w:t xml:space="preserve">– земельного законодавства (потребує уточнення </w:t>
      </w:r>
      <w:proofErr w:type="spellStart"/>
      <w:r w:rsidRPr="00B46BCA">
        <w:t>понятійно</w:t>
      </w:r>
      <w:proofErr w:type="spellEnd"/>
      <w:r w:rsidRPr="00B46BCA">
        <w:t xml:space="preserve">-термінологічний апарат, земельно-кадастрова інформація); </w:t>
      </w:r>
    </w:p>
    <w:p w:rsidR="00B46BCA" w:rsidRPr="00B46BCA" w:rsidRDefault="00B46BCA" w:rsidP="00B46BCA">
      <w:pPr>
        <w:pStyle w:val="11"/>
      </w:pPr>
      <w:r w:rsidRPr="00B46BCA">
        <w:t xml:space="preserve">– консолідації земель сільськогосподарського призначення, яка має бути наслідком науково обґрунтованого об’єднання; </w:t>
      </w:r>
    </w:p>
    <w:p w:rsidR="00B46BCA" w:rsidRPr="00B46BCA" w:rsidRDefault="00B46BCA" w:rsidP="00B46BCA">
      <w:pPr>
        <w:pStyle w:val="11"/>
      </w:pPr>
      <w:r w:rsidRPr="00B46BCA">
        <w:t xml:space="preserve">– контролю використання землі; </w:t>
      </w:r>
    </w:p>
    <w:p w:rsidR="00B46BCA" w:rsidRPr="00B46BCA" w:rsidRDefault="00B46BCA" w:rsidP="00B46BCA">
      <w:pPr>
        <w:pStyle w:val="11"/>
      </w:pPr>
      <w:r w:rsidRPr="00B46BCA">
        <w:t xml:space="preserve">– проведення роз’яснювальної роботи серед сільськогосподарських виробників щодо впровадження ринку землі; </w:t>
      </w:r>
    </w:p>
    <w:p w:rsidR="00B46BCA" w:rsidRPr="00B46BCA" w:rsidRDefault="00B46BCA" w:rsidP="00B46BCA">
      <w:pPr>
        <w:pStyle w:val="11"/>
      </w:pPr>
      <w:r w:rsidRPr="00B46BCA">
        <w:t xml:space="preserve">– вивчення зарубіжного досвіду у проведенні земельної реформи; </w:t>
      </w:r>
    </w:p>
    <w:p w:rsidR="00B46BCA" w:rsidRPr="00B46BCA" w:rsidRDefault="00B46BCA" w:rsidP="00B46BCA">
      <w:pPr>
        <w:pStyle w:val="11"/>
      </w:pPr>
      <w:r w:rsidRPr="00B46BCA">
        <w:t xml:space="preserve">– особливостей обігу земель сільськогосподарського призначення; </w:t>
      </w:r>
    </w:p>
    <w:p w:rsidR="00B46BCA" w:rsidRPr="00B46BCA" w:rsidRDefault="00B46BCA" w:rsidP="00B46BCA">
      <w:pPr>
        <w:pStyle w:val="11"/>
      </w:pPr>
      <w:r w:rsidRPr="00B46BCA">
        <w:t xml:space="preserve">– формування відповідної інфраструктури ринку земель (земельні аукціони, іпотечні установи, земельні банки). </w:t>
      </w:r>
    </w:p>
    <w:p w:rsidR="00B46BCA" w:rsidRPr="00B46BCA" w:rsidRDefault="00B46BCA" w:rsidP="00B46BCA">
      <w:pPr>
        <w:pStyle w:val="11"/>
      </w:pPr>
      <w:r w:rsidRPr="00B46BCA">
        <w:t xml:space="preserve">Дана ситуація свідчить про те, що рівень розвитку земельних відносин в Україні не відповідає ринковим умовам. Запровадження цивілізованого ринку земель сільськогосподарського призначення вимагає створення ринкової інфраструктури та прозорих правил її функціонування. Виходячи із загальної характеристики земельних відносин, які здійснюються у сільському господарстві України, варто зазначити, що на сьогодні, на думку науковців, основними вимогами і механізмами для вирішення проблем реформування земельних відносин та їх розвитку є: </w:t>
      </w:r>
    </w:p>
    <w:p w:rsidR="00B46BCA" w:rsidRPr="00B46BCA" w:rsidRDefault="00B46BCA" w:rsidP="00B46BCA">
      <w:pPr>
        <w:pStyle w:val="11"/>
      </w:pPr>
      <w:r w:rsidRPr="00B46BCA">
        <w:t>1. Створення земельної інфраструктури:</w:t>
      </w:r>
    </w:p>
    <w:p w:rsidR="00B46BCA" w:rsidRPr="00B46BCA" w:rsidRDefault="00B46BCA" w:rsidP="00B46BCA">
      <w:pPr>
        <w:pStyle w:val="11"/>
      </w:pPr>
      <w:r w:rsidRPr="00B46BCA">
        <w:t xml:space="preserve"> – електронні торги; </w:t>
      </w:r>
    </w:p>
    <w:p w:rsidR="00B46BCA" w:rsidRPr="00B46BCA" w:rsidRDefault="00B46BCA" w:rsidP="00B46BCA">
      <w:pPr>
        <w:pStyle w:val="11"/>
      </w:pPr>
      <w:r w:rsidRPr="00B46BCA">
        <w:t xml:space="preserve">– прозорість інформації Державного земельного кадастру; </w:t>
      </w:r>
    </w:p>
    <w:p w:rsidR="00B46BCA" w:rsidRPr="00B46BCA" w:rsidRDefault="00B46BCA" w:rsidP="00B46BCA">
      <w:pPr>
        <w:pStyle w:val="11"/>
      </w:pPr>
      <w:r w:rsidRPr="00B46BCA">
        <w:t xml:space="preserve">– вдосконалення процедури державної реєстрації земельних ділянок та прав на них; </w:t>
      </w:r>
    </w:p>
    <w:p w:rsidR="00B46BCA" w:rsidRPr="00B46BCA" w:rsidRDefault="00B46BCA" w:rsidP="00B46BCA">
      <w:pPr>
        <w:pStyle w:val="11"/>
      </w:pPr>
      <w:r w:rsidRPr="00B46BCA">
        <w:t xml:space="preserve">– вдосконалення нормативної грошової оцінки земель сільськогосподарського призначення на основі рентного доходу; </w:t>
      </w:r>
    </w:p>
    <w:p w:rsidR="00B46BCA" w:rsidRPr="00B46BCA" w:rsidRDefault="00B46BCA" w:rsidP="00B46BCA">
      <w:pPr>
        <w:pStyle w:val="11"/>
      </w:pPr>
      <w:r w:rsidRPr="00B46BCA">
        <w:lastRenderedPageBreak/>
        <w:t xml:space="preserve">– оптимізації земельних платежів. </w:t>
      </w:r>
    </w:p>
    <w:p w:rsidR="00B46BCA" w:rsidRPr="00B46BCA" w:rsidRDefault="00B46BCA" w:rsidP="00B46BCA">
      <w:pPr>
        <w:pStyle w:val="11"/>
      </w:pPr>
      <w:r w:rsidRPr="00B46BCA">
        <w:t xml:space="preserve">2. Вдосконалення законодавчої, нормативно-правової та інституційної бази: </w:t>
      </w:r>
    </w:p>
    <w:p w:rsidR="00B46BCA" w:rsidRPr="00B46BCA" w:rsidRDefault="00B46BCA" w:rsidP="00B46BCA">
      <w:pPr>
        <w:pStyle w:val="11"/>
      </w:pPr>
      <w:r w:rsidRPr="00B46BCA">
        <w:t xml:space="preserve">– формування взаємоузгоджених законодавчих та нормативно-правових актів; </w:t>
      </w:r>
    </w:p>
    <w:p w:rsidR="00B46BCA" w:rsidRPr="00B46BCA" w:rsidRDefault="00B46BCA" w:rsidP="00B46BCA">
      <w:pPr>
        <w:pStyle w:val="11"/>
      </w:pPr>
      <w:r w:rsidRPr="00B46BCA">
        <w:t xml:space="preserve">– запровадження механізмів та умов вільного господарювання, господарської ініціативи та самореалізації; </w:t>
      </w:r>
    </w:p>
    <w:p w:rsidR="00B46BCA" w:rsidRPr="00B46BCA" w:rsidRDefault="00B46BCA" w:rsidP="00B46BCA">
      <w:pPr>
        <w:pStyle w:val="11"/>
      </w:pPr>
      <w:r w:rsidRPr="00B46BCA">
        <w:t xml:space="preserve">– впорядкування системи існуючих державних інституцій, які мають відношення до питань землі та її природних ресурсів. </w:t>
      </w:r>
    </w:p>
    <w:p w:rsidR="00B46BCA" w:rsidRPr="00B46BCA" w:rsidRDefault="00B46BCA" w:rsidP="00B46BCA">
      <w:pPr>
        <w:pStyle w:val="11"/>
      </w:pPr>
      <w:r w:rsidRPr="00B46BCA">
        <w:t xml:space="preserve">3. Розробка механізму для уникнення урбанізації, забудови та монополізації земель сільськогосподарського призначення, що забезпечить перехід сільськогосподарських земель до економічно активної частини сільського населення: </w:t>
      </w:r>
    </w:p>
    <w:p w:rsidR="00B46BCA" w:rsidRPr="00B46BCA" w:rsidRDefault="00B46BCA" w:rsidP="00B46BCA">
      <w:pPr>
        <w:pStyle w:val="11"/>
      </w:pPr>
      <w:r w:rsidRPr="00B46BCA">
        <w:t>– 10-річна заборона на зміну цільового призначення ділянок;</w:t>
      </w:r>
    </w:p>
    <w:p w:rsidR="00B46BCA" w:rsidRPr="00B46BCA" w:rsidRDefault="00B46BCA" w:rsidP="00B46BCA">
      <w:pPr>
        <w:pStyle w:val="11"/>
      </w:pPr>
      <w:r w:rsidRPr="00B46BCA">
        <w:t xml:space="preserve">– встановлення мінімального неподільного розміру ділянки; </w:t>
      </w:r>
    </w:p>
    <w:p w:rsidR="00B46BCA" w:rsidRPr="00B46BCA" w:rsidRDefault="00B46BCA" w:rsidP="00B46BCA">
      <w:pPr>
        <w:pStyle w:val="11"/>
      </w:pPr>
      <w:r w:rsidRPr="00B46BCA">
        <w:t xml:space="preserve">– проведення консолідації земель сільськогосподарського призначення виключно засобами добровільного характеру; </w:t>
      </w:r>
    </w:p>
    <w:p w:rsidR="00B46BCA" w:rsidRPr="00B46BCA" w:rsidRDefault="00B46BCA" w:rsidP="00B46BCA">
      <w:pPr>
        <w:pStyle w:val="11"/>
      </w:pPr>
      <w:r w:rsidRPr="00B46BCA">
        <w:t xml:space="preserve">– застосування регресивної шкали держмита під час відчуження землі власність однієї особи обмежити 100 гектарами, крім успадкування за законом; </w:t>
      </w:r>
    </w:p>
    <w:p w:rsidR="00B46BCA" w:rsidRPr="00B46BCA" w:rsidRDefault="00B46BCA" w:rsidP="00B46BCA">
      <w:pPr>
        <w:pStyle w:val="11"/>
      </w:pPr>
      <w:r w:rsidRPr="00B46BCA">
        <w:t>– укладання довгострокових орендних договорів, що сприятиме приходу ефективного землекористувача і поліпшення родючості ґрунтів.</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Перед Україною постає стратегічне завдання розроблення та впровадження напрямів розвитку земельної політики, орієнтованих на перспективу до 2030 року, відповідно до принципів, рекомендованих ООН. В умовах ключового етапу – відкриття ринку сільськогосподарських земель – виникла нагальна потреба у перегляді стратегічних засад земельної політики на засадах сталого розвитку, оскільки чинна політика не забезпечує належного захисту земельних ресурсів, прав власності на землю, її капіталізації, екологізації та соціалізації землекористування.</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lastRenderedPageBreak/>
        <w:t>Розробка нової земельної політики та формування сучасної моделі земельного устрою з ефективною системою управління земельними ресурсами й землеустроєм набувають особливої актуальності. Прийняття у 2020 році Закону України «Про внесення змін до деяких законодавчих актів України щодо умов обігу земель сільськогосподарського призначення» стало визначним кроком, який активізував дискусії щодо побудови ринкової моделі земельних відносин. Важливість цієї теми підкреслюється у численних виступах провідних експертів у галузі земельних відносин.</w:t>
      </w:r>
    </w:p>
    <w:p w:rsidR="00B46BCA" w:rsidRPr="00B46BCA" w:rsidRDefault="00B46BCA" w:rsidP="00B46BCA">
      <w:pPr>
        <w:pStyle w:val="a3"/>
        <w:spacing w:before="0" w:beforeAutospacing="0" w:after="0" w:afterAutospacing="0" w:line="360" w:lineRule="auto"/>
        <w:ind w:firstLine="709"/>
        <w:jc w:val="both"/>
        <w:rPr>
          <w:sz w:val="28"/>
          <w:szCs w:val="28"/>
        </w:rPr>
      </w:pPr>
      <w:r w:rsidRPr="00B46BCA">
        <w:rPr>
          <w:sz w:val="28"/>
          <w:szCs w:val="28"/>
        </w:rPr>
        <w:t>Для забезпечення функціонування земельного ринку необхідно розвивати його інфраструктуру. У зв’язку з цим виникає потреба у формуванні державної земельної політики, яка передбачала б чітке визначення цілей, пріоритетів та інструментів регулювання земельних відносин. Реалізація такої політики дозволить докорінно змінити траєкторію розвитку земельної сфери з урахуванням необхідності збереження та примноження земельного потенціалу країни як у середньостроковій, так і в довгостроковій перспективі.</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У цьому контексті особливого значення набуває питання формування рівноправних економічних відносин у сфері прав власності на землю між державними та комунальними підприємствами і приватним сектором. Наразі в Україні відсутня цілісна державна земельна політика, здатна вирішити зазначені проблеми. Єдиним стратегічним документом є Указ Президента України №722/2019 «Про Цілі сталого розвитку України на період до 2030 року». Однак, механізми та інструменти створення й вдосконалення правових, економічних, екологічних, соціальних і організаційних умов для розвитку земельних відносин залишаються невизначеними.</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 xml:space="preserve">Розвиток земельних відносин має враховувати особливий статус земельних ділянок, які одночасно виступають основою для життя та діяльності людини, засобом виробництва в сільському господарстві та інших галузях, а також нерухомим майном із специфічним правовим режимом. Відсутність належної координації між нормами земельного, природоохоронного та галузевого (лісового, водного, аграрного) законодавства, що часто </w:t>
      </w:r>
      <w:r w:rsidRPr="00223BE7">
        <w:rPr>
          <w:rFonts w:ascii="Times New Roman" w:hAnsi="Times New Roman" w:cs="Times New Roman"/>
          <w:sz w:val="28"/>
          <w:szCs w:val="28"/>
        </w:rPr>
        <w:lastRenderedPageBreak/>
        <w:t>підкреслюється в наукових дослідженнях, призводить до суперечностей і створює перешкоди у визначенні правового режиму об’єктів, а також у підвищенні ефективності економічних відносин у сфері прав власності на землю.</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 xml:space="preserve">Деградація земель розглядається як процес скорочення або втрати біологічної та економічної продуктивності, а також комплексної структури сільськогосподарських угідь, лісів тощо, що відбувається внаслідок землекористування або сукупності процесів, спричинених антропогенною діяльністю. Це складне явище, яке, зазвичай, супроводжується частковою або повною втратою продуктивності ґрунтів, рослинного покриву, біомаси, біорізноманіття, </w:t>
      </w:r>
      <w:proofErr w:type="spellStart"/>
      <w:r w:rsidRPr="00223BE7">
        <w:rPr>
          <w:rFonts w:ascii="Times New Roman" w:hAnsi="Times New Roman" w:cs="Times New Roman"/>
          <w:sz w:val="28"/>
          <w:szCs w:val="28"/>
        </w:rPr>
        <w:t>екосистемних</w:t>
      </w:r>
      <w:proofErr w:type="spellEnd"/>
      <w:r w:rsidRPr="00223BE7">
        <w:rPr>
          <w:rFonts w:ascii="Times New Roman" w:hAnsi="Times New Roman" w:cs="Times New Roman"/>
          <w:sz w:val="28"/>
          <w:szCs w:val="28"/>
        </w:rPr>
        <w:t xml:space="preserve"> послуг та екологічної стійкості.</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Деградація земель є наслідком дії трьох основних, взаємопов’язаних груп чинників:</w:t>
      </w:r>
    </w:p>
    <w:p w:rsidR="00B46BCA" w:rsidRPr="00223BE7" w:rsidRDefault="00B46BCA" w:rsidP="00B46BCA">
      <w:pPr>
        <w:numPr>
          <w:ilvl w:val="0"/>
          <w:numId w:val="9"/>
        </w:numPr>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bCs/>
          <w:sz w:val="28"/>
          <w:szCs w:val="28"/>
        </w:rPr>
        <w:t>б</w:t>
      </w:r>
      <w:r w:rsidRPr="00B46BCA">
        <w:rPr>
          <w:rFonts w:ascii="Times New Roman" w:eastAsia="Times New Roman" w:hAnsi="Times New Roman" w:cs="Times New Roman"/>
          <w:bCs/>
          <w:sz w:val="28"/>
          <w:szCs w:val="28"/>
        </w:rPr>
        <w:t>іофізичних факторів</w:t>
      </w:r>
      <w:r w:rsidRPr="00223BE7">
        <w:rPr>
          <w:rFonts w:ascii="Times New Roman" w:hAnsi="Times New Roman" w:cs="Times New Roman"/>
          <w:sz w:val="28"/>
          <w:szCs w:val="28"/>
        </w:rPr>
        <w:t>, що формують умови землекористування, включаючи клімат, рослинність, рельєф місцевості та доступність води;</w:t>
      </w:r>
    </w:p>
    <w:p w:rsidR="00B46BCA" w:rsidRPr="00223BE7" w:rsidRDefault="00B46BCA" w:rsidP="00B46BCA">
      <w:pPr>
        <w:numPr>
          <w:ilvl w:val="0"/>
          <w:numId w:val="9"/>
        </w:numPr>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bCs/>
          <w:sz w:val="28"/>
          <w:szCs w:val="28"/>
        </w:rPr>
        <w:t>і</w:t>
      </w:r>
      <w:r w:rsidRPr="00B46BCA">
        <w:rPr>
          <w:rFonts w:ascii="Times New Roman" w:eastAsia="Times New Roman" w:hAnsi="Times New Roman" w:cs="Times New Roman"/>
          <w:bCs/>
          <w:sz w:val="28"/>
          <w:szCs w:val="28"/>
        </w:rPr>
        <w:t>нституційних чинників</w:t>
      </w:r>
      <w:r w:rsidRPr="00223BE7">
        <w:rPr>
          <w:rFonts w:ascii="Times New Roman" w:hAnsi="Times New Roman" w:cs="Times New Roman"/>
          <w:sz w:val="28"/>
          <w:szCs w:val="28"/>
        </w:rPr>
        <w:t>, які визначають політику регулювання землекористування та включають права власності й володіння, історичні культурні норми, а також політичні та економічні рішення;</w:t>
      </w:r>
    </w:p>
    <w:p w:rsidR="00B46BCA" w:rsidRPr="00223BE7" w:rsidRDefault="00B46BCA" w:rsidP="00B46BCA">
      <w:pPr>
        <w:numPr>
          <w:ilvl w:val="0"/>
          <w:numId w:val="9"/>
        </w:numPr>
        <w:spacing w:after="0" w:line="360" w:lineRule="auto"/>
        <w:ind w:left="0" w:firstLine="709"/>
        <w:jc w:val="both"/>
        <w:rPr>
          <w:rFonts w:ascii="Times New Roman" w:hAnsi="Times New Roman" w:cs="Times New Roman"/>
          <w:sz w:val="28"/>
          <w:szCs w:val="28"/>
        </w:rPr>
      </w:pPr>
      <w:r w:rsidRPr="00B46BCA">
        <w:rPr>
          <w:rFonts w:ascii="Times New Roman" w:hAnsi="Times New Roman" w:cs="Times New Roman"/>
          <w:bCs/>
          <w:sz w:val="28"/>
          <w:szCs w:val="28"/>
        </w:rPr>
        <w:t>с</w:t>
      </w:r>
      <w:r w:rsidRPr="00B46BCA">
        <w:rPr>
          <w:rFonts w:ascii="Times New Roman" w:eastAsia="Times New Roman" w:hAnsi="Times New Roman" w:cs="Times New Roman"/>
          <w:bCs/>
          <w:sz w:val="28"/>
          <w:szCs w:val="28"/>
        </w:rPr>
        <w:t>оціально-економічних факторів</w:t>
      </w:r>
      <w:r w:rsidRPr="00223BE7">
        <w:rPr>
          <w:rFonts w:ascii="Times New Roman" w:hAnsi="Times New Roman" w:cs="Times New Roman"/>
          <w:sz w:val="28"/>
          <w:szCs w:val="28"/>
        </w:rPr>
        <w:t>, що впливають на попит на земельні ресурси та управління ними, зокрема через економічну ситуацію, яка формує управлінські рішення, включаючи строки та способи змін у землекористуванні.</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Первинні біофізичні умови, такі як кліматичні особливості, наявність рослинного покриву, топографія та водні ресурси, створюють базові рамки для використання земельних ресурсів. Соціально-економічні фактори, у свою чергу, визначають підходи до їх управління, тоді як інституційні аспекти значною мірою залежать від правової системи, історичних традицій та політики.</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 xml:space="preserve">Втрата функцій земель унаслідок змін у режимах землекористування є результатом дії численних взаємопов’язаних елементів, які діють на різних </w:t>
      </w:r>
      <w:r w:rsidRPr="00223BE7">
        <w:rPr>
          <w:rFonts w:ascii="Times New Roman" w:hAnsi="Times New Roman" w:cs="Times New Roman"/>
          <w:sz w:val="28"/>
          <w:szCs w:val="28"/>
        </w:rPr>
        <w:lastRenderedPageBreak/>
        <w:t xml:space="preserve">рівнях </w:t>
      </w:r>
      <w:r w:rsidRPr="00B46BCA">
        <w:rPr>
          <w:rFonts w:ascii="Times New Roman" w:hAnsi="Times New Roman" w:cs="Times New Roman"/>
          <w:sz w:val="28"/>
          <w:szCs w:val="28"/>
        </w:rPr>
        <w:t>-</w:t>
      </w:r>
      <w:r w:rsidRPr="00223BE7">
        <w:rPr>
          <w:rFonts w:ascii="Times New Roman" w:hAnsi="Times New Roman" w:cs="Times New Roman"/>
          <w:sz w:val="28"/>
          <w:szCs w:val="28"/>
        </w:rPr>
        <w:t xml:space="preserve"> від локального до глобального. Ці складні взаємодії потребують комплексного підходу для запобігання деградації земель та відновлення їх екологічної стійкості.</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Для досягнення цілей сталого розвитку земельних відносин до 2030 року необхідно вирішити низку ключових проблем, зокрема:</w:t>
      </w:r>
    </w:p>
    <w:p w:rsidR="00B46BCA" w:rsidRPr="00223BE7" w:rsidRDefault="00B46BCA" w:rsidP="00B46BCA">
      <w:pPr>
        <w:numPr>
          <w:ilvl w:val="0"/>
          <w:numId w:val="8"/>
        </w:numPr>
        <w:spacing w:after="0" w:line="360" w:lineRule="auto"/>
        <w:ind w:left="0" w:firstLine="709"/>
        <w:jc w:val="both"/>
        <w:rPr>
          <w:rFonts w:ascii="Times New Roman" w:hAnsi="Times New Roman" w:cs="Times New Roman"/>
          <w:sz w:val="28"/>
          <w:szCs w:val="28"/>
        </w:rPr>
      </w:pPr>
      <w:r w:rsidRPr="00223BE7">
        <w:rPr>
          <w:rFonts w:ascii="Times New Roman" w:hAnsi="Times New Roman" w:cs="Times New Roman"/>
          <w:sz w:val="28"/>
          <w:szCs w:val="28"/>
        </w:rPr>
        <w:t>подолання деградації земельних ресурсів;</w:t>
      </w:r>
    </w:p>
    <w:p w:rsidR="00B46BCA" w:rsidRPr="00223BE7" w:rsidRDefault="00B46BCA" w:rsidP="00B46BCA">
      <w:pPr>
        <w:numPr>
          <w:ilvl w:val="0"/>
          <w:numId w:val="8"/>
        </w:numPr>
        <w:spacing w:after="0" w:line="360" w:lineRule="auto"/>
        <w:ind w:left="0" w:firstLine="709"/>
        <w:jc w:val="both"/>
        <w:rPr>
          <w:rFonts w:ascii="Times New Roman" w:hAnsi="Times New Roman" w:cs="Times New Roman"/>
          <w:sz w:val="28"/>
          <w:szCs w:val="28"/>
        </w:rPr>
      </w:pPr>
      <w:r w:rsidRPr="00223BE7">
        <w:rPr>
          <w:rFonts w:ascii="Times New Roman" w:hAnsi="Times New Roman" w:cs="Times New Roman"/>
          <w:sz w:val="28"/>
          <w:szCs w:val="28"/>
        </w:rPr>
        <w:t>приведення інституції власності на землю у відповідність до конституційних норм;</w:t>
      </w:r>
    </w:p>
    <w:p w:rsidR="00B46BCA" w:rsidRPr="00223BE7" w:rsidRDefault="00B46BCA" w:rsidP="00B46BCA">
      <w:pPr>
        <w:numPr>
          <w:ilvl w:val="0"/>
          <w:numId w:val="8"/>
        </w:numPr>
        <w:spacing w:after="0" w:line="360" w:lineRule="auto"/>
        <w:ind w:left="0" w:firstLine="709"/>
        <w:jc w:val="both"/>
        <w:rPr>
          <w:rFonts w:ascii="Times New Roman" w:hAnsi="Times New Roman" w:cs="Times New Roman"/>
          <w:sz w:val="28"/>
          <w:szCs w:val="28"/>
        </w:rPr>
      </w:pPr>
      <w:r w:rsidRPr="00223BE7">
        <w:rPr>
          <w:rFonts w:ascii="Times New Roman" w:hAnsi="Times New Roman" w:cs="Times New Roman"/>
          <w:sz w:val="28"/>
          <w:szCs w:val="28"/>
        </w:rPr>
        <w:t>перехід від категорійного поділу земель до їх територіального зонування за типами та підтипами землекористування;</w:t>
      </w:r>
    </w:p>
    <w:p w:rsidR="00B46BCA" w:rsidRPr="00223BE7" w:rsidRDefault="00B46BCA" w:rsidP="00B46BCA">
      <w:pPr>
        <w:numPr>
          <w:ilvl w:val="0"/>
          <w:numId w:val="8"/>
        </w:numPr>
        <w:spacing w:after="0" w:line="360" w:lineRule="auto"/>
        <w:ind w:left="0" w:firstLine="709"/>
        <w:jc w:val="both"/>
        <w:rPr>
          <w:rFonts w:ascii="Times New Roman" w:hAnsi="Times New Roman" w:cs="Times New Roman"/>
          <w:sz w:val="28"/>
          <w:szCs w:val="28"/>
        </w:rPr>
      </w:pPr>
      <w:r w:rsidRPr="00223BE7">
        <w:rPr>
          <w:rFonts w:ascii="Times New Roman" w:hAnsi="Times New Roman" w:cs="Times New Roman"/>
          <w:sz w:val="28"/>
          <w:szCs w:val="28"/>
        </w:rPr>
        <w:t>запровадження нової парадигми землевпорядкування і землеустрою, з відновленням ролі держави в їх регулюванні;</w:t>
      </w:r>
    </w:p>
    <w:p w:rsidR="00B46BCA" w:rsidRPr="00223BE7" w:rsidRDefault="00B46BCA" w:rsidP="00B46BCA">
      <w:pPr>
        <w:numPr>
          <w:ilvl w:val="0"/>
          <w:numId w:val="8"/>
        </w:numPr>
        <w:spacing w:after="0" w:line="360" w:lineRule="auto"/>
        <w:ind w:left="0" w:firstLine="709"/>
        <w:jc w:val="both"/>
        <w:rPr>
          <w:rFonts w:ascii="Times New Roman" w:hAnsi="Times New Roman" w:cs="Times New Roman"/>
          <w:sz w:val="28"/>
          <w:szCs w:val="28"/>
        </w:rPr>
      </w:pPr>
      <w:r w:rsidRPr="00223BE7">
        <w:rPr>
          <w:rFonts w:ascii="Times New Roman" w:hAnsi="Times New Roman" w:cs="Times New Roman"/>
          <w:sz w:val="28"/>
          <w:szCs w:val="28"/>
        </w:rPr>
        <w:t>модернізація системи управління земельними ресурсами та землекористуванням.</w:t>
      </w:r>
    </w:p>
    <w:p w:rsidR="00B46BCA" w:rsidRPr="00223BE7" w:rsidRDefault="00B46BCA" w:rsidP="00B46BCA">
      <w:pPr>
        <w:spacing w:after="0" w:line="360" w:lineRule="auto"/>
        <w:ind w:firstLine="709"/>
        <w:jc w:val="both"/>
        <w:rPr>
          <w:rFonts w:ascii="Times New Roman" w:hAnsi="Times New Roman" w:cs="Times New Roman"/>
          <w:sz w:val="28"/>
          <w:szCs w:val="28"/>
        </w:rPr>
      </w:pPr>
      <w:r w:rsidRPr="00223BE7">
        <w:rPr>
          <w:rFonts w:ascii="Times New Roman" w:hAnsi="Times New Roman" w:cs="Times New Roman"/>
          <w:sz w:val="28"/>
          <w:szCs w:val="28"/>
        </w:rPr>
        <w:t>Ці заходи сприятимуть удосконаленню правового регулювання земельних відносин, підвищенню їх ефективності та забезпеченню сталого використання земельних ресурсів.</w:t>
      </w:r>
    </w:p>
    <w:p w:rsidR="00B46BCA" w:rsidRPr="00B46BCA" w:rsidRDefault="00B46BCA" w:rsidP="00B46BCA">
      <w:pPr>
        <w:pStyle w:val="11"/>
      </w:pPr>
      <w:r w:rsidRPr="00B46BCA">
        <w:t xml:space="preserve">Отже, Україна перебуває на етапі формування сучасної земельної політики, яка має відповідати принципам сталого розвитку та враховувати виклики відкриття ринку сільськогосподарських земель. Існуюча земельна політика не забезпечує ефективного захисту земельних ресурсів, їх капіталізації, екологізації та соціалізації землекористування, що вимагає перегляду стратегічних засад розвитку земельних відносин. Розроблення нової моделі земельного устрою з акцентом на ефективну систему управління та інфраструктуру ринку земель є нагальною потребою. Важливість цього завдання підкреслюється необхідністю формування рівноправних економічних відносин у сфері прав власності на землю між різними секторами економіки. Однак відсутність цілісної державної земельної політики, а також недостатня координація між різними галузями законодавства створюють перешкоди для підвищення ефективності земельних відносин. Для </w:t>
      </w:r>
      <w:r w:rsidRPr="00B46BCA">
        <w:lastRenderedPageBreak/>
        <w:t>забезпечення сталого розвитку земельної сфери необхідне чітке визначення стратегічних цілей, пріоритетів та механізмів регулювання, які дозволять реалізувати потенціал земельних ресурсів України та сприяти їхньому збереженню й примноженню в середньостроковій і довгостроковій перспективі.</w:t>
      </w:r>
    </w:p>
    <w:p w:rsidR="00B46BCA" w:rsidRPr="00223BE7" w:rsidRDefault="00B46BCA" w:rsidP="00B46BCA">
      <w:pPr>
        <w:pStyle w:val="11"/>
      </w:pPr>
    </w:p>
    <w:p w:rsidR="002F0FA8" w:rsidRDefault="002F0FA8">
      <w:pPr>
        <w:rPr>
          <w:rFonts w:ascii="Times New Roman" w:eastAsiaTheme="majorEastAsia" w:hAnsi="Times New Roman" w:cs="Times New Roman"/>
          <w:b/>
          <w:sz w:val="28"/>
          <w:szCs w:val="28"/>
        </w:rPr>
      </w:pPr>
      <w:r>
        <w:rPr>
          <w:rFonts w:ascii="Times New Roman" w:hAnsi="Times New Roman" w:cs="Times New Roman"/>
          <w:b/>
          <w:sz w:val="28"/>
          <w:szCs w:val="28"/>
        </w:rPr>
        <w:br w:type="page"/>
      </w:r>
    </w:p>
    <w:p w:rsidR="002F0FA8" w:rsidRPr="00113A25" w:rsidRDefault="002F0FA8" w:rsidP="002F0FA8">
      <w:pPr>
        <w:pStyle w:val="1"/>
        <w:spacing w:before="0" w:line="360" w:lineRule="auto"/>
        <w:ind w:firstLine="709"/>
        <w:jc w:val="center"/>
        <w:rPr>
          <w:rFonts w:ascii="Times New Roman" w:hAnsi="Times New Roman" w:cs="Times New Roman"/>
          <w:b/>
          <w:color w:val="auto"/>
          <w:sz w:val="28"/>
          <w:szCs w:val="28"/>
        </w:rPr>
      </w:pPr>
      <w:bookmarkStart w:id="35" w:name="_Toc187523573"/>
      <w:r>
        <w:rPr>
          <w:rFonts w:ascii="Times New Roman" w:hAnsi="Times New Roman" w:cs="Times New Roman"/>
          <w:b/>
          <w:color w:val="auto"/>
          <w:sz w:val="28"/>
          <w:szCs w:val="28"/>
        </w:rPr>
        <w:lastRenderedPageBreak/>
        <w:t>ВИСНОВКИ</w:t>
      </w:r>
      <w:bookmarkEnd w:id="35"/>
    </w:p>
    <w:p w:rsidR="00B46BCA" w:rsidRDefault="00B46BCA" w:rsidP="00B46BCA">
      <w:pPr>
        <w:pStyle w:val="11"/>
      </w:pPr>
    </w:p>
    <w:p w:rsidR="00B96DEC" w:rsidRDefault="00B96DEC" w:rsidP="00B46BCA">
      <w:pPr>
        <w:pStyle w:val="11"/>
      </w:pPr>
      <w:r>
        <w:t xml:space="preserve">Проведене дослідження дозволило сформувати наступні висновки. </w:t>
      </w:r>
    </w:p>
    <w:p w:rsidR="00B96DEC" w:rsidRPr="00B96DEC" w:rsidRDefault="00B96DEC" w:rsidP="00B96DEC">
      <w:pPr>
        <w:pStyle w:val="11"/>
      </w:pPr>
      <w:r>
        <w:t xml:space="preserve">Визначено, що </w:t>
      </w:r>
      <w:r w:rsidRPr="00113A25">
        <w:t xml:space="preserve">земельна рента, як економічне явище, є результатом використання обмежених земельних ресурсів, що приносить стабільний дохід власнику землі. Вона виникає внаслідок природних та економічних характеристик земельних ділянок, таких як родючість ґрунту, місце розташування та інтенсивність використання. Класичні теорії земельної ренти, представлені працями В. Петі, А. Сміта, Д. Рікардо та інших, акцентують увагу на важливості приватної власності на землю та її монопольному характері як основної причини формування ренти. Сучасні дослідження поглиблюють ці теорії, додаючи нові аспекти, пов'язані з економічною родючістю ґрунтів та інтенсивністю виробництва. Трактування земельної ренти в різних наукових </w:t>
      </w:r>
      <w:r w:rsidRPr="00B96DEC">
        <w:t>школах підкреслює її сутність як специфічний вид доходу, який випливає з ефективного використання земельних ресурсів і регулюється факторами власності та економічних умов.</w:t>
      </w:r>
    </w:p>
    <w:p w:rsidR="00B96DEC" w:rsidRPr="00113A25" w:rsidRDefault="00B96DEC" w:rsidP="00B96DEC">
      <w:pPr>
        <w:pStyle w:val="11"/>
      </w:pPr>
      <w:r w:rsidRPr="00B96DEC">
        <w:t>Досліджено, що абсолютна земельна рента з’являється через монополію на землю, коли держава чи приватні власники контролюють доступ до земельних</w:t>
      </w:r>
      <w:r w:rsidRPr="00113A25">
        <w:t xml:space="preserve"> ресурсів і можуть встановлювати орендну плату незалежно від природних характеристик землі. Вона є результатом монопольного контролю і не залежить від рівня родючості чи інших економічних умов. Монопольна рента виникає на обмежених земельних ділянках, де природні умови дозволяють виробляти унікальну продукцію, яка не може бути заміщена іншими землями. Це призводить до високих цін на таку продукцію і утворення ренти, яку отримує власник таких земель. Монопольна рента базується на обмеженості ресурсів і попиті на специфічну продукцію. Диференціальна рента, зокрема рента І </w:t>
      </w:r>
      <w:proofErr w:type="spellStart"/>
      <w:r w:rsidRPr="00113A25">
        <w:t>і</w:t>
      </w:r>
      <w:proofErr w:type="spellEnd"/>
      <w:r w:rsidRPr="00113A25">
        <w:t xml:space="preserve"> II, пов’язана з відмінностями в природних умовах землі та її розташуванні. Рента I виникає через природну родючість землі, коли на родючих землях отримують вищий урожай при однакових витратах, тоді як рента II утворюється завдяки економічним факторам, таким як </w:t>
      </w:r>
      <w:r w:rsidRPr="00113A25">
        <w:lastRenderedPageBreak/>
        <w:t>місцезнаходження землі відносно ринків збуту чи транспортних шляхів. Обидва види диференціальної ренти є результатом різних факторів, які впливають на ефективність використання землі.</w:t>
      </w:r>
    </w:p>
    <w:p w:rsidR="00B96DEC" w:rsidRPr="00113A25" w:rsidRDefault="00B96DEC" w:rsidP="00B96DEC">
      <w:pPr>
        <w:pStyle w:val="11"/>
      </w:pPr>
      <w:r>
        <w:t xml:space="preserve">Визначено, що </w:t>
      </w:r>
      <w:r w:rsidRPr="00113A25">
        <w:t>ефективне використання ренти може стати потужним інструментом для забезпечення продовольчої безпеки, покращення інфраструктури, фінансування соціальних програм та підтримки екологічних ініціатив. Особливе значення має спрямування рентних доходів на розвиток регіонів, оскільки це сприяє створенню нових робочих місць, модернізації виробництва та зростанню економічної активності. У цьому контексті важливою є державна політика, орієнтована на забезпечення справедливого перерозподілу рентних доходів, підтримку соціальної рівноваги та стимулювання сталого економічного зростання. Успішна реалізація такої політики сприятиме підвищенню добробуту населення, зменшенню соціальних диспропорцій та прискоренню переходу до моделі сталого розвитку.</w:t>
      </w:r>
    </w:p>
    <w:p w:rsidR="00B96DEC" w:rsidRDefault="00B96DEC" w:rsidP="00B96DEC">
      <w:pPr>
        <w:pStyle w:val="11"/>
      </w:pPr>
      <w:r>
        <w:t>Встановлено, що</w:t>
      </w:r>
      <w:r w:rsidRPr="00B96DEC">
        <w:t xml:space="preserve"> </w:t>
      </w:r>
      <w:r>
        <w:t>п</w:t>
      </w:r>
      <w:r w:rsidRPr="00247684">
        <w:t xml:space="preserve">овномасштабне вторгнення </w:t>
      </w:r>
      <w:r>
        <w:t>р</w:t>
      </w:r>
      <w:r w:rsidRPr="00247684">
        <w:t xml:space="preserve">осії в Україну мало значний негативний вплив на ринок сільськогосподарських земель країни. У 2023 році ринок частково відновився, проте його щоденні обсяги залишалися нижчими за показники, що спостерігались до початку агресії. В другій половині 2023 року середня щоденна кількість угод купівлі-продажу становила 529 га, що на 37% менше порівняно з періодом до лютого 2022 року. За нашими оцінками, внаслідок російського вторгнення було втрачено можливість укласти 120 тис. угод загальною площею 355,5 тис. га. Як результат, збитки ринку </w:t>
      </w:r>
      <w:proofErr w:type="spellStart"/>
      <w:r w:rsidRPr="00247684">
        <w:t>сільгоспземель</w:t>
      </w:r>
      <w:proofErr w:type="spellEnd"/>
      <w:r w:rsidRPr="00247684">
        <w:t xml:space="preserve"> склали приблизно 325 млн </w:t>
      </w:r>
      <w:proofErr w:type="spellStart"/>
      <w:r w:rsidRPr="00247684">
        <w:t>дол</w:t>
      </w:r>
      <w:proofErr w:type="spellEnd"/>
      <w:r w:rsidRPr="00247684">
        <w:t>. США або 12,4 млрд грн</w:t>
      </w:r>
      <w:r>
        <w:t xml:space="preserve">. </w:t>
      </w:r>
      <w:r w:rsidRPr="00247684">
        <w:t xml:space="preserve">Протягом понад двох років після відкриття ринку сільськогосподарських земель в умовах повномасштабної війни </w:t>
      </w:r>
      <w:r>
        <w:t>р</w:t>
      </w:r>
      <w:r w:rsidRPr="00247684">
        <w:t xml:space="preserve">осії проти України, вартість земельних ділянок зросла на 10%, що відповідає зростанню вартості потенційної застави на 5,5 млрд </w:t>
      </w:r>
      <w:proofErr w:type="spellStart"/>
      <w:r w:rsidRPr="00247684">
        <w:t>дол</w:t>
      </w:r>
      <w:proofErr w:type="spellEnd"/>
      <w:r w:rsidRPr="00247684">
        <w:t xml:space="preserve">. США. З урахуванням поточного коефіцієнта ліквідності </w:t>
      </w:r>
      <w:proofErr w:type="spellStart"/>
      <w:r w:rsidRPr="00247684">
        <w:t>сільгоспземель</w:t>
      </w:r>
      <w:proofErr w:type="spellEnd"/>
      <w:r w:rsidRPr="00247684">
        <w:t xml:space="preserve"> як застави, що становить 0,35, це збільшення вартості могло б забезпечити власникам землі та агросектору </w:t>
      </w:r>
      <w:r w:rsidRPr="00247684">
        <w:lastRenderedPageBreak/>
        <w:t xml:space="preserve">додаткові кредити на суму 1,9 млрд </w:t>
      </w:r>
      <w:proofErr w:type="spellStart"/>
      <w:r w:rsidRPr="00247684">
        <w:t>дол</w:t>
      </w:r>
      <w:proofErr w:type="spellEnd"/>
      <w:r w:rsidRPr="00247684">
        <w:t xml:space="preserve">. США. Для порівняння, на кінець 2023 року обсяг банківського боргу аграрного сектору України становив близько 3,5 млрд </w:t>
      </w:r>
      <w:proofErr w:type="spellStart"/>
      <w:r w:rsidRPr="00247684">
        <w:t>дол</w:t>
      </w:r>
      <w:proofErr w:type="spellEnd"/>
      <w:r w:rsidRPr="00247684">
        <w:t xml:space="preserve">. США. </w:t>
      </w:r>
    </w:p>
    <w:p w:rsidR="00B96DEC" w:rsidRPr="00113A25" w:rsidRDefault="00B96DEC" w:rsidP="00B96DEC">
      <w:pPr>
        <w:pStyle w:val="11"/>
      </w:pPr>
      <w:r>
        <w:t xml:space="preserve">Проведений </w:t>
      </w:r>
      <w:r w:rsidRPr="00113A25">
        <w:t>аналіз питомої ваги рентної плати у ВВП України протягом 2019–2023 років показує значні коливання, зумовлені як економічними, так і політичними чинниками. Підвищення цього показника у 2021–2022 роках пояснюється відновленням економіки та змінами в рентних надходженнях, тоді як його зниження у 2023 році є результатом поточної економічної ситуації, зокрема війни та зниження рівня економічної активності.</w:t>
      </w:r>
      <w:r>
        <w:t xml:space="preserve"> А</w:t>
      </w:r>
      <w:r w:rsidRPr="0051471E">
        <w:t xml:space="preserve">наліз рентних платежів в Україні показує значні коливання внаслідок економічних і військових факторів. Протягом 2019–2021 років спостерігалося помірне зростання, зокрема через підвищення ставок та активізацію видобувної галузі. Однак у 2022–2024 роках рентні надходження суттєво зменшилися через вплив війни, зниження видобутку та втрату територій. Це свідчить про серйозні економічні труднощі, що вимагають коригувань у податковій політиці для забезпечення стабільності в умовах </w:t>
      </w:r>
      <w:r>
        <w:t>війни та повоєнного відновлення</w:t>
      </w:r>
      <w:r w:rsidRPr="0051471E">
        <w:t>.</w:t>
      </w:r>
      <w:r>
        <w:t xml:space="preserve"> </w:t>
      </w:r>
      <w:r w:rsidRPr="00113A25">
        <w:t>Динаміка</w:t>
      </w:r>
      <w:r>
        <w:t xml:space="preserve"> </w:t>
      </w:r>
      <w:r w:rsidRPr="00113A25">
        <w:t xml:space="preserve"> питомої ваги рентних платежів у Зведеному бюджеті України демонструє тенденцію до зниження в умовах військової агресії та економічної нестабільності. Це вимагає перегляду механізмів адміністрування рентних платежів, покращення прозорості їх розподілу, а також розробки заходів для відновлення видобувної галузі. Ефективне використання потенціалу рентних надходжень є важливим чинником фінансової стабільності держави та її здатності забезпечувати сталий соціально-економічний розвиток.  </w:t>
      </w:r>
    </w:p>
    <w:p w:rsidR="00B96DEC" w:rsidRPr="00B46BCA" w:rsidRDefault="00B96DEC" w:rsidP="00B96DEC">
      <w:pPr>
        <w:pStyle w:val="11"/>
      </w:pPr>
      <w:r>
        <w:t xml:space="preserve">Встановлено, що </w:t>
      </w:r>
      <w:r w:rsidRPr="00B46BCA">
        <w:t xml:space="preserve">ринок землі в Україні вистояв у надзвичайно складних умовах і продовжує розвиватися, поступово відновлюючи свої довоєнні темпи. Більше ніж два роки Україна відстоює своє право на незалежність і територіальну цілісність. Однак війна не стала перешкодою для розвитку земельних відносин і функціонування ринку землі. Навпаки, вона стала поштовхом до прийняття оперативних і ефективних рішень, спрямованих на </w:t>
      </w:r>
      <w:r w:rsidRPr="00B46BCA">
        <w:lastRenderedPageBreak/>
        <w:t>вирішення актуальних проблем і реалізацію стратегічних завдань повоєнного відновлення держави.</w:t>
      </w:r>
    </w:p>
    <w:p w:rsidR="00B96DEC" w:rsidRPr="00B46BCA" w:rsidRDefault="00B96DEC" w:rsidP="00B96DEC">
      <w:pPr>
        <w:pStyle w:val="11"/>
      </w:pPr>
      <w:r>
        <w:t xml:space="preserve">Досліджено, що </w:t>
      </w:r>
      <w:r w:rsidRPr="00B46BCA">
        <w:t>Україна перебуває на етапі формування сучасної земельної політики, яка має відповідати принципам сталого розвитку та враховувати виклики відкриття ринку сільськогосподарських земель. Існуюча земельна політика не забезпечує ефективного захисту земельних ресурсів, їх капіталізації, екологізації та соціалізації землекористування, що вимагає перегляду стратегічних засад розвитку земельних відносин. Розроблення нової моделі земельного устрою з акцентом на ефективну систему управління та інфраструктуру ринку земель є нагальною потребою. Важливість цього завдання підкреслюється необхідністю формування рівноправних економічних відносин у сфері прав власності на землю між різними секторами економіки. Однак відсутність цілісної державної земельної політики, а також недостатня координація між різними галузями законодавства створюють перешкоди для підвищення ефективності земельних відносин. Для забезпечення сталого розвитку земельної сфери необхідне чітке визначення стратегічних цілей, пріоритетів та механізмів регулювання, які дозволять реалізувати потенціал земельних ресурсів України та сприяти їхньому збереженню й примноженню в середньостроковій і довгостроковій перспективі.</w:t>
      </w:r>
    </w:p>
    <w:p w:rsidR="00B96DEC" w:rsidRPr="00223BE7" w:rsidRDefault="00B96DEC" w:rsidP="00B46BCA">
      <w:pPr>
        <w:pStyle w:val="11"/>
      </w:pPr>
    </w:p>
    <w:p w:rsidR="00B46BCA" w:rsidRPr="00113A25" w:rsidRDefault="00B46BCA" w:rsidP="000C60E3">
      <w:pPr>
        <w:pStyle w:val="11"/>
      </w:pPr>
    </w:p>
    <w:p w:rsidR="000C60E3" w:rsidRPr="00113A25" w:rsidRDefault="000C60E3" w:rsidP="000C60E3">
      <w:pPr>
        <w:pStyle w:val="11"/>
      </w:pPr>
    </w:p>
    <w:p w:rsidR="000C60E3" w:rsidRPr="00113A25" w:rsidRDefault="000C60E3" w:rsidP="000C60E3">
      <w:pPr>
        <w:pStyle w:val="a3"/>
        <w:spacing w:before="0" w:beforeAutospacing="0" w:after="0" w:afterAutospacing="0" w:line="360" w:lineRule="auto"/>
        <w:ind w:firstLine="709"/>
        <w:jc w:val="center"/>
        <w:rPr>
          <w:sz w:val="28"/>
          <w:szCs w:val="28"/>
        </w:rPr>
      </w:pPr>
    </w:p>
    <w:p w:rsidR="000C60E3" w:rsidRPr="00113A25" w:rsidRDefault="000C60E3" w:rsidP="000C60E3">
      <w:pPr>
        <w:pStyle w:val="11"/>
        <w:ind w:firstLine="0"/>
      </w:pPr>
    </w:p>
    <w:p w:rsidR="000C60E3" w:rsidRPr="00113A25" w:rsidRDefault="000C60E3" w:rsidP="000C60E3">
      <w:pPr>
        <w:pStyle w:val="11"/>
        <w:ind w:firstLine="0"/>
      </w:pPr>
    </w:p>
    <w:p w:rsidR="000C60E3" w:rsidRPr="00113A25" w:rsidRDefault="000C60E3" w:rsidP="009E71E2">
      <w:pPr>
        <w:pStyle w:val="11"/>
      </w:pPr>
    </w:p>
    <w:p w:rsidR="000C60E3" w:rsidRPr="00113A25" w:rsidRDefault="000C60E3" w:rsidP="009E71E2">
      <w:pPr>
        <w:pStyle w:val="11"/>
      </w:pPr>
    </w:p>
    <w:p w:rsidR="000C60E3" w:rsidRPr="00113A25" w:rsidRDefault="000C60E3">
      <w:pPr>
        <w:rPr>
          <w:rFonts w:ascii="Times New Roman" w:hAnsi="Times New Roman" w:cs="Times New Roman"/>
          <w:b/>
          <w:sz w:val="28"/>
          <w:szCs w:val="28"/>
        </w:rPr>
      </w:pPr>
      <w:r w:rsidRPr="00113A25">
        <w:rPr>
          <w:rFonts w:ascii="Times New Roman" w:hAnsi="Times New Roman" w:cs="Times New Roman"/>
          <w:b/>
          <w:sz w:val="28"/>
          <w:szCs w:val="28"/>
        </w:rPr>
        <w:br w:type="page"/>
      </w:r>
    </w:p>
    <w:p w:rsidR="00820585" w:rsidRPr="00113A25" w:rsidRDefault="0019783B" w:rsidP="000C60E3">
      <w:pPr>
        <w:pStyle w:val="1"/>
        <w:jc w:val="center"/>
        <w:rPr>
          <w:rFonts w:ascii="Times New Roman" w:hAnsi="Times New Roman" w:cs="Times New Roman"/>
          <w:b/>
          <w:color w:val="auto"/>
          <w:sz w:val="28"/>
        </w:rPr>
      </w:pPr>
      <w:bookmarkStart w:id="36" w:name="_Toc187523574"/>
      <w:r>
        <w:rPr>
          <w:rFonts w:ascii="Times New Roman" w:hAnsi="Times New Roman" w:cs="Times New Roman"/>
          <w:b/>
          <w:color w:val="auto"/>
          <w:sz w:val="28"/>
        </w:rPr>
        <w:lastRenderedPageBreak/>
        <w:t>СПИСОК ВИКОРИСТАНИХ ДЖЕРЕЛ</w:t>
      </w:r>
      <w:bookmarkEnd w:id="36"/>
      <w:r>
        <w:rPr>
          <w:rFonts w:ascii="Times New Roman" w:hAnsi="Times New Roman" w:cs="Times New Roman"/>
          <w:b/>
          <w:color w:val="auto"/>
          <w:sz w:val="28"/>
        </w:rPr>
        <w:t xml:space="preserve"> </w:t>
      </w:r>
    </w:p>
    <w:p w:rsidR="0051099A" w:rsidRPr="00113A25" w:rsidRDefault="0051099A" w:rsidP="00820585">
      <w:pPr>
        <w:spacing w:after="0" w:line="360" w:lineRule="auto"/>
        <w:ind w:firstLine="709"/>
        <w:jc w:val="both"/>
        <w:rPr>
          <w:rFonts w:ascii="Times New Roman" w:hAnsi="Times New Roman" w:cs="Times New Roman"/>
          <w:b/>
          <w:sz w:val="28"/>
          <w:szCs w:val="28"/>
        </w:rPr>
      </w:pPr>
    </w:p>
    <w:sectPr w:rsidR="0051099A" w:rsidRPr="00113A25" w:rsidSect="000C60E3">
      <w:headerReference w:type="default" r:id="rId36"/>
      <w:endnotePr>
        <w:numFmt w:val="decimal"/>
      </w:endnotePr>
      <w:pgSz w:w="11906" w:h="16838"/>
      <w:pgMar w:top="1134" w:right="851"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F46A3" w:rsidRDefault="007F46A3" w:rsidP="006E60E6">
      <w:pPr>
        <w:spacing w:after="0" w:line="240" w:lineRule="auto"/>
      </w:pPr>
      <w:r>
        <w:separator/>
      </w:r>
    </w:p>
  </w:endnote>
  <w:endnote w:type="continuationSeparator" w:id="0">
    <w:p w:rsidR="007F46A3" w:rsidRDefault="007F46A3" w:rsidP="006E60E6">
      <w:pPr>
        <w:spacing w:after="0" w:line="240" w:lineRule="auto"/>
      </w:pPr>
      <w:r>
        <w:continuationSeparator/>
      </w:r>
    </w:p>
  </w:endnote>
  <w:endnote w:id="1">
    <w:p w:rsidR="00EA1D25" w:rsidRPr="004B649E" w:rsidRDefault="00EA1D25" w:rsidP="004B649E">
      <w:pPr>
        <w:pStyle w:val="ab"/>
        <w:spacing w:line="360" w:lineRule="auto"/>
        <w:ind w:firstLine="567"/>
        <w:jc w:val="both"/>
        <w:rPr>
          <w:rFonts w:ascii="Times New Roman" w:hAnsi="Times New Roman" w:cs="Times New Roman"/>
          <w:sz w:val="28"/>
          <w:szCs w:val="28"/>
          <w:lang w:val="ru-RU"/>
        </w:rPr>
      </w:pPr>
      <w:r w:rsidRPr="004B649E">
        <w:rPr>
          <w:rStyle w:val="ad"/>
          <w:rFonts w:ascii="Times New Roman" w:hAnsi="Times New Roman" w:cs="Times New Roman"/>
          <w:sz w:val="28"/>
          <w:szCs w:val="28"/>
        </w:rPr>
        <w:endnoteRef/>
      </w:r>
      <w:r w:rsidRPr="004B649E">
        <w:rPr>
          <w:rFonts w:ascii="Times New Roman" w:hAnsi="Times New Roman" w:cs="Times New Roman"/>
          <w:sz w:val="28"/>
          <w:szCs w:val="28"/>
        </w:rPr>
        <w:t xml:space="preserve"> Економічна енциклопедія. У 3-ох томах / Редкол. : відп. ред. С.В. Мочерний та ін. К. : Вид. центр "Академія".  2002.</w:t>
      </w:r>
      <w:r w:rsidRPr="004B649E">
        <w:rPr>
          <w:rFonts w:ascii="Times New Roman" w:hAnsi="Times New Roman" w:cs="Times New Roman"/>
          <w:sz w:val="28"/>
          <w:szCs w:val="28"/>
          <w:lang w:val="ru-RU"/>
        </w:rPr>
        <w:t xml:space="preserve"> </w:t>
      </w:r>
      <w:r w:rsidRPr="004B649E">
        <w:rPr>
          <w:rFonts w:ascii="Times New Roman" w:hAnsi="Times New Roman" w:cs="Times New Roman"/>
          <w:sz w:val="28"/>
          <w:szCs w:val="28"/>
        </w:rPr>
        <w:t xml:space="preserve"> Т. 3. 952 с.</w:t>
      </w:r>
    </w:p>
  </w:endnote>
  <w:endnote w:id="2">
    <w:p w:rsidR="00EA1D25" w:rsidRPr="004A6FD0" w:rsidRDefault="00EA1D25" w:rsidP="004A6FD0">
      <w:pPr>
        <w:pStyle w:val="ab"/>
        <w:spacing w:line="360" w:lineRule="auto"/>
        <w:ind w:firstLine="567"/>
        <w:jc w:val="both"/>
        <w:rPr>
          <w:rFonts w:ascii="Times New Roman" w:hAnsi="Times New Roman" w:cs="Times New Roman"/>
          <w:sz w:val="28"/>
          <w:szCs w:val="28"/>
          <w:lang w:val="ru-RU"/>
        </w:rPr>
      </w:pPr>
      <w:r w:rsidRPr="004B649E">
        <w:rPr>
          <w:rStyle w:val="ad"/>
          <w:rFonts w:ascii="Times New Roman" w:hAnsi="Times New Roman" w:cs="Times New Roman"/>
          <w:sz w:val="28"/>
          <w:szCs w:val="28"/>
        </w:rPr>
        <w:endnoteRef/>
      </w:r>
      <w:r w:rsidRPr="004B649E">
        <w:rPr>
          <w:rFonts w:ascii="Times New Roman" w:hAnsi="Times New Roman" w:cs="Times New Roman"/>
          <w:sz w:val="28"/>
          <w:szCs w:val="28"/>
        </w:rPr>
        <w:t xml:space="preserve"> Економічна енциклопедія. У 3-ох </w:t>
      </w:r>
      <w:r w:rsidRPr="004A6FD0">
        <w:rPr>
          <w:rFonts w:ascii="Times New Roman" w:hAnsi="Times New Roman" w:cs="Times New Roman"/>
          <w:sz w:val="28"/>
          <w:szCs w:val="28"/>
        </w:rPr>
        <w:t>томах / Редкол. : відп. ред. С.В. Мочерний та ін. К. : Вид. центр "Академія".  2002.</w:t>
      </w:r>
      <w:r w:rsidRPr="004A6FD0">
        <w:rPr>
          <w:rFonts w:ascii="Times New Roman" w:hAnsi="Times New Roman" w:cs="Times New Roman"/>
          <w:sz w:val="28"/>
          <w:szCs w:val="28"/>
          <w:lang w:val="ru-RU"/>
        </w:rPr>
        <w:t xml:space="preserve"> </w:t>
      </w:r>
      <w:r w:rsidRPr="004A6FD0">
        <w:rPr>
          <w:rFonts w:ascii="Times New Roman" w:hAnsi="Times New Roman" w:cs="Times New Roman"/>
          <w:sz w:val="28"/>
          <w:szCs w:val="28"/>
        </w:rPr>
        <w:t xml:space="preserve"> Т. 3. 952 с.</w:t>
      </w:r>
    </w:p>
  </w:endnote>
  <w:endnote w:id="3">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Савчин О.Я. Земельна рента як економічна категорія: ретроспектива і сучасні погляди. </w:t>
      </w:r>
      <w:r w:rsidRPr="004A6FD0">
        <w:rPr>
          <w:rFonts w:ascii="Times New Roman" w:hAnsi="Times New Roman" w:cs="Times New Roman"/>
          <w:i/>
          <w:sz w:val="28"/>
          <w:szCs w:val="28"/>
        </w:rPr>
        <w:t>Науковий вісник НЛТУ України</w:t>
      </w:r>
      <w:r w:rsidRPr="004A6FD0">
        <w:rPr>
          <w:rFonts w:ascii="Times New Roman" w:hAnsi="Times New Roman" w:cs="Times New Roman"/>
          <w:sz w:val="28"/>
          <w:szCs w:val="28"/>
        </w:rPr>
        <w:t xml:space="preserve">. 2010. Вип. 20.4. С. 257-261. URL: </w:t>
      </w:r>
      <w:hyperlink r:id="rId1" w:history="1">
        <w:r w:rsidRPr="004A6FD0">
          <w:rPr>
            <w:rStyle w:val="aa"/>
            <w:rFonts w:ascii="Times New Roman" w:hAnsi="Times New Roman" w:cs="Times New Roman"/>
            <w:sz w:val="28"/>
            <w:szCs w:val="28"/>
          </w:rPr>
          <w:t>file:///C:/Users/User/Desktop/zemelna-renta-yak-ekonomichna-kategoriya-retrospektivai-suchasni-poglyadi.pdf</w:t>
        </w:r>
      </w:hyperlink>
      <w:r w:rsidRPr="00D6536B">
        <w:rPr>
          <w:rFonts w:ascii="Times New Roman" w:hAnsi="Times New Roman" w:cs="Times New Roman"/>
          <w:sz w:val="28"/>
          <w:szCs w:val="28"/>
        </w:rPr>
        <w:t xml:space="preserve"> </w:t>
      </w:r>
    </w:p>
  </w:endnote>
  <w:endnote w:id="4">
    <w:p w:rsidR="00EA1D25" w:rsidRPr="004A6FD0" w:rsidRDefault="00EA1D25" w:rsidP="004A6FD0">
      <w:pPr>
        <w:pStyle w:val="ab"/>
        <w:spacing w:line="360" w:lineRule="auto"/>
        <w:ind w:firstLine="567"/>
        <w:jc w:val="both"/>
        <w:rPr>
          <w:rFonts w:ascii="Times New Roman" w:hAnsi="Times New Roman" w:cs="Times New Roman"/>
          <w:sz w:val="28"/>
          <w:szCs w:val="28"/>
          <w:lang w:val="ru-RU"/>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Історія економічних вчень: Підручник; за ред. В.М. Тарасевича, Ю.Є. Петруні  К. : Центр учбової літератури, 2013. 352 с.</w:t>
      </w:r>
    </w:p>
  </w:endnote>
  <w:endnote w:id="5">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Савчин О.Я. Земельна рента як економічна категорія: ретроспектива і сучасні погляди. </w:t>
      </w:r>
      <w:r w:rsidRPr="004A6FD0">
        <w:rPr>
          <w:rFonts w:ascii="Times New Roman" w:hAnsi="Times New Roman" w:cs="Times New Roman"/>
          <w:i/>
          <w:sz w:val="28"/>
          <w:szCs w:val="28"/>
        </w:rPr>
        <w:t>Науковий вісник НЛТУ України</w:t>
      </w:r>
      <w:r w:rsidRPr="004A6FD0">
        <w:rPr>
          <w:rFonts w:ascii="Times New Roman" w:hAnsi="Times New Roman" w:cs="Times New Roman"/>
          <w:sz w:val="28"/>
          <w:szCs w:val="28"/>
        </w:rPr>
        <w:t xml:space="preserve">. 2010. Вип. 20.4. С. 257-261. URL: </w:t>
      </w:r>
      <w:hyperlink r:id="rId2" w:history="1">
        <w:r w:rsidRPr="004A6FD0">
          <w:rPr>
            <w:rStyle w:val="aa"/>
            <w:rFonts w:ascii="Times New Roman" w:hAnsi="Times New Roman" w:cs="Times New Roman"/>
            <w:sz w:val="28"/>
            <w:szCs w:val="28"/>
          </w:rPr>
          <w:t>file:///C:/Users/User/Desktop/zemelna-renta-yak-ekonomichna-kategoriya-retrospektivai-suchasni-poglyadi.pdf</w:t>
        </w:r>
      </w:hyperlink>
      <w:r w:rsidRPr="00D6536B">
        <w:rPr>
          <w:rFonts w:ascii="Times New Roman" w:hAnsi="Times New Roman" w:cs="Times New Roman"/>
          <w:sz w:val="28"/>
          <w:szCs w:val="28"/>
        </w:rPr>
        <w:t xml:space="preserve"> </w:t>
      </w:r>
    </w:p>
  </w:endnote>
  <w:endnote w:id="6">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Савчин О.Я. Земельна рента як економічна категорія: ретроспектива і сучасні погляди. </w:t>
      </w:r>
      <w:r w:rsidRPr="004A6FD0">
        <w:rPr>
          <w:rFonts w:ascii="Times New Roman" w:hAnsi="Times New Roman" w:cs="Times New Roman"/>
          <w:i/>
          <w:sz w:val="28"/>
          <w:szCs w:val="28"/>
        </w:rPr>
        <w:t>Науковий вісник НЛТУ України.</w:t>
      </w:r>
      <w:r w:rsidRPr="004A6FD0">
        <w:rPr>
          <w:rFonts w:ascii="Times New Roman" w:hAnsi="Times New Roman" w:cs="Times New Roman"/>
          <w:sz w:val="28"/>
          <w:szCs w:val="28"/>
        </w:rPr>
        <w:t xml:space="preserve"> 2010. Вип. 20.4. С. 257-261. URL: </w:t>
      </w:r>
      <w:hyperlink r:id="rId3" w:history="1">
        <w:r w:rsidRPr="004A6FD0">
          <w:rPr>
            <w:rStyle w:val="aa"/>
            <w:rFonts w:ascii="Times New Roman" w:hAnsi="Times New Roman" w:cs="Times New Roman"/>
            <w:sz w:val="28"/>
            <w:szCs w:val="28"/>
          </w:rPr>
          <w:t>file:///C:/Users/User/Desktop/zemelna-renta-yak-ekonomichna-kategoriya-retrospektivai-suchasni-poglyadi.pdf</w:t>
        </w:r>
      </w:hyperlink>
      <w:r w:rsidRPr="00D6536B">
        <w:rPr>
          <w:rFonts w:ascii="Times New Roman" w:hAnsi="Times New Roman" w:cs="Times New Roman"/>
          <w:sz w:val="28"/>
          <w:szCs w:val="28"/>
        </w:rPr>
        <w:t xml:space="preserve"> </w:t>
      </w:r>
    </w:p>
  </w:endnote>
  <w:endnote w:id="7">
    <w:p w:rsidR="00EA1D25" w:rsidRPr="004A6FD0" w:rsidRDefault="00EA1D25" w:rsidP="004A6FD0">
      <w:pPr>
        <w:pStyle w:val="ab"/>
        <w:spacing w:line="360" w:lineRule="auto"/>
        <w:ind w:firstLine="567"/>
        <w:jc w:val="both"/>
        <w:rPr>
          <w:rFonts w:ascii="Times New Roman" w:hAnsi="Times New Roman" w:cs="Times New Roman"/>
          <w:sz w:val="28"/>
          <w:szCs w:val="28"/>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Малий І.Й. Теорія розподілу суспільного продукту : монографія / І.Й. Малий. К. : Вид-во КНЕУ, 2000. 248 с.</w:t>
      </w:r>
    </w:p>
  </w:endnote>
  <w:endnote w:id="8">
    <w:p w:rsidR="00EA1D25" w:rsidRPr="004A6FD0" w:rsidRDefault="00EA1D25" w:rsidP="004A6FD0">
      <w:pPr>
        <w:pStyle w:val="ab"/>
        <w:spacing w:line="360" w:lineRule="auto"/>
        <w:ind w:firstLine="567"/>
        <w:jc w:val="both"/>
        <w:rPr>
          <w:rFonts w:ascii="Times New Roman" w:hAnsi="Times New Roman" w:cs="Times New Roman"/>
          <w:sz w:val="28"/>
          <w:szCs w:val="28"/>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Туган-Барановський М. Політична економія. Курс популярний / М. Туган-Барановський. К. : Вид-во "Наук. думка", 1994. С. 194-197.</w:t>
      </w:r>
    </w:p>
  </w:endnote>
  <w:endnote w:id="9">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4A6FD0">
        <w:rPr>
          <w:rStyle w:val="ad"/>
          <w:rFonts w:ascii="Times New Roman" w:hAnsi="Times New Roman" w:cs="Times New Roman"/>
          <w:sz w:val="28"/>
          <w:szCs w:val="28"/>
        </w:rPr>
        <w:endnoteRef/>
      </w:r>
      <w:r w:rsidRPr="004A6FD0">
        <w:rPr>
          <w:rFonts w:ascii="Times New Roman" w:hAnsi="Times New Roman" w:cs="Times New Roman"/>
          <w:sz w:val="28"/>
          <w:szCs w:val="28"/>
        </w:rPr>
        <w:t xml:space="preserve"> </w:t>
      </w:r>
      <w:r w:rsidRPr="004A6FD0">
        <w:rPr>
          <w:rFonts w:ascii="Times New Roman" w:hAnsi="Times New Roman" w:cs="Times New Roman"/>
          <w:sz w:val="28"/>
          <w:szCs w:val="28"/>
          <w:lang w:val="ru-RU"/>
        </w:rPr>
        <w:t xml:space="preserve">  </w:t>
      </w:r>
      <w:r w:rsidRPr="004A6FD0">
        <w:rPr>
          <w:rFonts w:ascii="Times New Roman" w:hAnsi="Times New Roman" w:cs="Times New Roman"/>
          <w:sz w:val="28"/>
          <w:szCs w:val="28"/>
        </w:rPr>
        <w:t xml:space="preserve">Савчин О.Я. Земельна рента як </w:t>
      </w:r>
      <w:r w:rsidRPr="00B96DEC">
        <w:rPr>
          <w:rFonts w:ascii="Times New Roman" w:hAnsi="Times New Roman" w:cs="Times New Roman"/>
          <w:sz w:val="28"/>
          <w:szCs w:val="28"/>
        </w:rPr>
        <w:t xml:space="preserve">економічна категорія: ретроспектива і сучасні погляди. </w:t>
      </w:r>
      <w:r w:rsidRPr="00B96DEC">
        <w:rPr>
          <w:rFonts w:ascii="Times New Roman" w:hAnsi="Times New Roman" w:cs="Times New Roman"/>
          <w:i/>
          <w:sz w:val="28"/>
          <w:szCs w:val="28"/>
        </w:rPr>
        <w:t>Науковий вісник НЛТУ України</w:t>
      </w:r>
      <w:r w:rsidRPr="00B96DEC">
        <w:rPr>
          <w:rFonts w:ascii="Times New Roman" w:hAnsi="Times New Roman" w:cs="Times New Roman"/>
          <w:sz w:val="28"/>
          <w:szCs w:val="28"/>
        </w:rPr>
        <w:t xml:space="preserve">. 2010. Вип. 20.4. С. 257-261. URL: </w:t>
      </w:r>
      <w:hyperlink r:id="rId4" w:history="1">
        <w:r w:rsidRPr="00B96DEC">
          <w:rPr>
            <w:rStyle w:val="aa"/>
            <w:rFonts w:ascii="Times New Roman" w:hAnsi="Times New Roman" w:cs="Times New Roman"/>
            <w:sz w:val="28"/>
            <w:szCs w:val="28"/>
          </w:rPr>
          <w:t>file:///C:/Users/User/Desktop/zemelna-renta-yak-ekonomichna-kategoriya-retrospektivai-suchasni-poglyadi.pdf</w:t>
        </w:r>
      </w:hyperlink>
      <w:r w:rsidRPr="00D6536B">
        <w:rPr>
          <w:rFonts w:ascii="Times New Roman" w:hAnsi="Times New Roman" w:cs="Times New Roman"/>
          <w:sz w:val="28"/>
          <w:szCs w:val="28"/>
        </w:rPr>
        <w:t xml:space="preserve"> </w:t>
      </w:r>
    </w:p>
  </w:endnote>
  <w:endnote w:id="10">
    <w:p w:rsidR="00EA1D25" w:rsidRPr="00B96DEC"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Ступень Р.М. Теоретико-методологічні засади формування та розподілу земельної ренти в аграрному секторі економіки. </w:t>
      </w:r>
      <w:r w:rsidRPr="00B96DEC">
        <w:rPr>
          <w:rFonts w:ascii="Times New Roman" w:hAnsi="Times New Roman" w:cs="Times New Roman"/>
          <w:i/>
          <w:sz w:val="28"/>
          <w:szCs w:val="28"/>
        </w:rPr>
        <w:t xml:space="preserve">Ефективна економіка. </w:t>
      </w:r>
      <w:r w:rsidRPr="00B96DEC">
        <w:rPr>
          <w:rFonts w:ascii="Times New Roman" w:hAnsi="Times New Roman" w:cs="Times New Roman"/>
          <w:sz w:val="28"/>
          <w:szCs w:val="28"/>
        </w:rPr>
        <w:t xml:space="preserve">2017. №8. </w:t>
      </w:r>
      <w:hyperlink r:id="rId5" w:history="1">
        <w:r w:rsidRPr="00B96DEC">
          <w:rPr>
            <w:rStyle w:val="aa"/>
            <w:rFonts w:ascii="Times New Roman" w:hAnsi="Times New Roman" w:cs="Times New Roman"/>
            <w:sz w:val="28"/>
            <w:szCs w:val="28"/>
          </w:rPr>
          <w:t>URL:http://www.economy.nayka.com.ua/?op=1&amp;z=6858</w:t>
        </w:r>
      </w:hyperlink>
      <w:r w:rsidRPr="00B96DEC">
        <w:rPr>
          <w:rFonts w:ascii="Times New Roman" w:hAnsi="Times New Roman" w:cs="Times New Roman"/>
          <w:sz w:val="28"/>
          <w:szCs w:val="28"/>
          <w:lang w:val="ru-RU"/>
        </w:rPr>
        <w:t xml:space="preserve"> </w:t>
      </w:r>
    </w:p>
  </w:endnote>
  <w:endnote w:id="11">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Кручок С.І. Іпотечне кредитування: європейська практика та перспективи розвитку в Україні. К. : Вид-во "Урожай", 2003. 208 с.</w:t>
      </w:r>
    </w:p>
  </w:endnote>
  <w:endnote w:id="12">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Малий І.Й. Теорія розподілу суспільного продукту : монографія.  К. : Вид-во КНЕУ, 2000. 248 с.</w:t>
      </w:r>
    </w:p>
  </w:endnote>
  <w:endnote w:id="13">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Мочерний С.В. Політична економія. К. : Вид-во "Знання-Прес", 2002. 687 с.</w:t>
      </w:r>
    </w:p>
  </w:endnote>
  <w:endnote w:id="14">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Михасюк І., Косович Б. Регулювання земельних відносин : монографія,. Львів : Вид-во ЛНУ ім. Івана Франка, 2002. 264 с.</w:t>
      </w:r>
    </w:p>
  </w:endnote>
  <w:endnote w:id="15">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Кошель А.О. Масова оцінка як багатофункціональна система визначення вартості земель в Україні. </w:t>
      </w:r>
      <w:r w:rsidRPr="00B96DEC">
        <w:rPr>
          <w:rFonts w:ascii="Times New Roman" w:hAnsi="Times New Roman" w:cs="Times New Roman"/>
          <w:i/>
          <w:sz w:val="28"/>
          <w:szCs w:val="28"/>
        </w:rPr>
        <w:t>Землевпорядний вісник</w:t>
      </w:r>
      <w:r w:rsidRPr="00B96DEC">
        <w:rPr>
          <w:rFonts w:ascii="Times New Roman" w:hAnsi="Times New Roman" w:cs="Times New Roman"/>
          <w:sz w:val="28"/>
          <w:szCs w:val="28"/>
        </w:rPr>
        <w:t xml:space="preserve">. 2014. № 11. С. 28– 31. </w:t>
      </w:r>
      <w:r w:rsidRPr="00D6536B">
        <w:rPr>
          <w:rFonts w:ascii="Times New Roman" w:hAnsi="Times New Roman" w:cs="Times New Roman"/>
          <w:sz w:val="28"/>
          <w:szCs w:val="28"/>
          <w:lang w:val="ru-RU"/>
        </w:rPr>
        <w:t xml:space="preserve"> </w:t>
      </w:r>
      <w:r w:rsidRPr="00B96DEC">
        <w:rPr>
          <w:rFonts w:ascii="Times New Roman" w:hAnsi="Times New Roman" w:cs="Times New Roman"/>
          <w:sz w:val="28"/>
          <w:szCs w:val="28"/>
        </w:rPr>
        <w:t xml:space="preserve"> </w:t>
      </w:r>
    </w:p>
  </w:endnote>
  <w:endnote w:id="16">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Кошель А.О. Теоретичні основи ефективності масової оцінки земель. </w:t>
      </w:r>
      <w:r w:rsidRPr="00B96DEC">
        <w:rPr>
          <w:rFonts w:ascii="Times New Roman" w:hAnsi="Times New Roman" w:cs="Times New Roman"/>
          <w:i/>
          <w:sz w:val="28"/>
          <w:szCs w:val="28"/>
        </w:rPr>
        <w:t>Землеустрій, кадастр і моніторинг земель</w:t>
      </w:r>
      <w:r w:rsidRPr="00B96DEC">
        <w:rPr>
          <w:rFonts w:ascii="Times New Roman" w:hAnsi="Times New Roman" w:cs="Times New Roman"/>
          <w:sz w:val="28"/>
          <w:szCs w:val="28"/>
        </w:rPr>
        <w:t>. 2016. № 3. С. 72–77.</w:t>
      </w:r>
    </w:p>
  </w:endnote>
  <w:endnote w:id="17">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Жикаляк Н.В. Рента в гірничій промисловості: види та причини освіти. </w:t>
      </w:r>
      <w:r w:rsidRPr="00B96DEC">
        <w:rPr>
          <w:rFonts w:ascii="Times New Roman" w:hAnsi="Times New Roman" w:cs="Times New Roman"/>
          <w:i/>
          <w:sz w:val="28"/>
          <w:szCs w:val="28"/>
        </w:rPr>
        <w:t>Економічний вісник Донбасу</w:t>
      </w:r>
      <w:r w:rsidRPr="00B96DEC">
        <w:rPr>
          <w:rFonts w:ascii="Times New Roman" w:hAnsi="Times New Roman" w:cs="Times New Roman"/>
          <w:sz w:val="28"/>
          <w:szCs w:val="28"/>
        </w:rPr>
        <w:t>. 2013. № 3. Т. 33. С. 180–185</w:t>
      </w:r>
    </w:p>
  </w:endnote>
  <w:endnote w:id="18">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Міщенко В. Гірнича рента і платежі за надра. </w:t>
      </w:r>
      <w:r w:rsidRPr="00B96DEC">
        <w:rPr>
          <w:rFonts w:ascii="Times New Roman" w:hAnsi="Times New Roman" w:cs="Times New Roman"/>
          <w:i/>
          <w:sz w:val="28"/>
          <w:szCs w:val="28"/>
        </w:rPr>
        <w:t>Геолог України</w:t>
      </w:r>
      <w:r w:rsidRPr="00B96DEC">
        <w:rPr>
          <w:rFonts w:ascii="Times New Roman" w:hAnsi="Times New Roman" w:cs="Times New Roman"/>
          <w:sz w:val="28"/>
          <w:szCs w:val="28"/>
        </w:rPr>
        <w:t>. 2004. № 4. С. 28–34.</w:t>
      </w:r>
    </w:p>
  </w:endnote>
  <w:endnote w:id="19">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Палехова В.А. Політична економія : підручник. Миколаїв : МДГУ, 2007. 332 с.</w:t>
      </w:r>
    </w:p>
  </w:endnote>
  <w:endnote w:id="20">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Амоша А.І. Теоретичні основи та механізми регулювання доходів вугледобувних підприємств. </w:t>
      </w:r>
      <w:r w:rsidRPr="00B96DEC">
        <w:rPr>
          <w:rFonts w:ascii="Times New Roman" w:hAnsi="Times New Roman" w:cs="Times New Roman"/>
          <w:i/>
          <w:sz w:val="28"/>
          <w:szCs w:val="28"/>
        </w:rPr>
        <w:t>Вугілля України</w:t>
      </w:r>
      <w:r w:rsidRPr="00B96DEC">
        <w:rPr>
          <w:rFonts w:ascii="Times New Roman" w:hAnsi="Times New Roman" w:cs="Times New Roman"/>
          <w:sz w:val="28"/>
          <w:szCs w:val="28"/>
        </w:rPr>
        <w:t>. 2004. № 6. С. 3–8.</w:t>
      </w:r>
    </w:p>
  </w:endnote>
  <w:endnote w:id="21">
    <w:p w:rsidR="00EA1D25" w:rsidRPr="00B96DEC" w:rsidRDefault="00EA1D25" w:rsidP="004A6FD0">
      <w:pPr>
        <w:pStyle w:val="ab"/>
        <w:spacing w:line="360" w:lineRule="auto"/>
        <w:ind w:firstLine="567"/>
        <w:jc w:val="both"/>
        <w:rPr>
          <w:rFonts w:ascii="Times New Roman" w:hAnsi="Times New Roman" w:cs="Times New Roman"/>
          <w:sz w:val="28"/>
          <w:szCs w:val="28"/>
          <w:lang w:val="en-US"/>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Решетілова Т.Б. Гірнича рента у механізмі господарювання корпорацій (на прикладі вугільної промисловості) : автореф. дис. … д-ра екон. наук. : спец. 08.07.01</w:t>
      </w:r>
      <w:r w:rsidRPr="00B96DEC">
        <w:rPr>
          <w:rFonts w:ascii="Times New Roman" w:hAnsi="Times New Roman" w:cs="Times New Roman"/>
          <w:sz w:val="28"/>
          <w:szCs w:val="28"/>
          <w:lang w:val="en-US"/>
        </w:rPr>
        <w:t>/</w:t>
      </w:r>
      <w:r w:rsidRPr="00B96DEC">
        <w:rPr>
          <w:rFonts w:ascii="Times New Roman" w:hAnsi="Times New Roman" w:cs="Times New Roman"/>
          <w:sz w:val="28"/>
          <w:szCs w:val="28"/>
        </w:rPr>
        <w:t xml:space="preserve"> НАН України, Ін-т екон.-правов. дослідж.  Донецьк, 1998. 32 с.</w:t>
      </w:r>
    </w:p>
  </w:endnote>
  <w:endnote w:id="22">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Otto J.M. Mining Taxation in Developing Countries. UNCTAD. 2000.  November. 19 p.</w:t>
      </w:r>
    </w:p>
  </w:endnote>
  <w:endnote w:id="23">
    <w:p w:rsidR="00EA1D25" w:rsidRPr="00D6536B"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Жикаляк Н.В. Рента в гірничій промисловості: види та причини освіти. </w:t>
      </w:r>
      <w:r w:rsidRPr="00B96DEC">
        <w:rPr>
          <w:rFonts w:ascii="Times New Roman" w:hAnsi="Times New Roman" w:cs="Times New Roman"/>
          <w:i/>
          <w:sz w:val="28"/>
          <w:szCs w:val="28"/>
        </w:rPr>
        <w:t>Економічний вісник Донбасу.</w:t>
      </w:r>
      <w:r w:rsidRPr="00B96DEC">
        <w:rPr>
          <w:rFonts w:ascii="Times New Roman" w:hAnsi="Times New Roman" w:cs="Times New Roman"/>
          <w:sz w:val="28"/>
          <w:szCs w:val="28"/>
        </w:rPr>
        <w:t xml:space="preserve"> 2013. № 3. Т. 33. З. 180-185.</w:t>
      </w:r>
    </w:p>
  </w:endnote>
  <w:endnote w:id="24">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Врублевська О.В. Лісова рента: вилучення й розподіл</w:t>
      </w:r>
      <w:r w:rsidRPr="00D6536B">
        <w:rPr>
          <w:rFonts w:ascii="Times New Roman" w:hAnsi="Times New Roman" w:cs="Times New Roman"/>
          <w:sz w:val="28"/>
          <w:szCs w:val="28"/>
        </w:rPr>
        <w:t xml:space="preserve">. </w:t>
      </w:r>
      <w:r w:rsidRPr="00B96DEC">
        <w:rPr>
          <w:rFonts w:ascii="Times New Roman" w:hAnsi="Times New Roman" w:cs="Times New Roman"/>
          <w:i/>
          <w:sz w:val="28"/>
          <w:szCs w:val="28"/>
        </w:rPr>
        <w:t>Наук. вісник НЛТУ України</w:t>
      </w:r>
      <w:r w:rsidRPr="00B96DEC">
        <w:rPr>
          <w:rFonts w:ascii="Times New Roman" w:hAnsi="Times New Roman" w:cs="Times New Roman"/>
          <w:sz w:val="28"/>
          <w:szCs w:val="28"/>
        </w:rPr>
        <w:t>. 2007. Вип. 17.2. С. 11–17.</w:t>
      </w:r>
    </w:p>
  </w:endnote>
  <w:endnote w:id="25">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Шустіков А.А. Фінансова статистика. Київ : КНЕУ, 2002. 205 с.</w:t>
      </w:r>
    </w:p>
  </w:endnote>
  <w:endnote w:id="26">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r w:rsidRPr="00D6536B">
        <w:rPr>
          <w:rFonts w:ascii="Times New Roman" w:hAnsi="Times New Roman" w:cs="Times New Roman"/>
          <w:sz w:val="28"/>
          <w:szCs w:val="28"/>
          <w:lang w:val="ru-RU"/>
        </w:rPr>
        <w:t xml:space="preserve"> </w:t>
      </w:r>
      <w:r w:rsidRPr="00B96DEC">
        <w:rPr>
          <w:rFonts w:ascii="Times New Roman" w:hAnsi="Times New Roman" w:cs="Times New Roman"/>
          <w:sz w:val="28"/>
          <w:szCs w:val="28"/>
        </w:rPr>
        <w:t>Левковська Л.В.</w:t>
      </w:r>
      <w:r w:rsidRPr="00D6536B">
        <w:rPr>
          <w:rFonts w:ascii="Times New Roman" w:hAnsi="Times New Roman" w:cs="Times New Roman"/>
          <w:sz w:val="28"/>
          <w:szCs w:val="28"/>
          <w:lang w:val="ru-RU"/>
        </w:rPr>
        <w:t xml:space="preserve">, </w:t>
      </w:r>
      <w:r w:rsidRPr="00B96DEC">
        <w:rPr>
          <w:rFonts w:ascii="Times New Roman" w:hAnsi="Times New Roman" w:cs="Times New Roman"/>
          <w:sz w:val="28"/>
          <w:szCs w:val="28"/>
        </w:rPr>
        <w:t>Рижова К.І. Рента як економічна основа раціонального використання водоресурсного потенціалу</w:t>
      </w:r>
      <w:r w:rsidRPr="00D6536B">
        <w:rPr>
          <w:rFonts w:ascii="Times New Roman" w:hAnsi="Times New Roman" w:cs="Times New Roman"/>
          <w:sz w:val="28"/>
          <w:szCs w:val="28"/>
          <w:lang w:val="ru-RU"/>
        </w:rPr>
        <w:t xml:space="preserve">. </w:t>
      </w:r>
      <w:r w:rsidRPr="00B96DEC">
        <w:rPr>
          <w:rFonts w:ascii="Times New Roman" w:hAnsi="Times New Roman" w:cs="Times New Roman"/>
          <w:i/>
          <w:sz w:val="28"/>
          <w:szCs w:val="28"/>
        </w:rPr>
        <w:t>Економіка природокористування і охорони довкілля</w:t>
      </w:r>
      <w:r w:rsidRPr="00B96DEC">
        <w:rPr>
          <w:rFonts w:ascii="Times New Roman" w:hAnsi="Times New Roman" w:cs="Times New Roman"/>
          <w:sz w:val="28"/>
          <w:szCs w:val="28"/>
        </w:rPr>
        <w:t>. 2013. С. 56–61.</w:t>
      </w:r>
    </w:p>
  </w:endnote>
  <w:endnote w:id="27">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Заяць В.М. Розвиток ринку сільськогосподарських земель: монографія. К.: ННЦ ІАЕ, 2011. 390 с.</w:t>
      </w:r>
    </w:p>
  </w:endnote>
  <w:endnote w:id="28">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Галушкіна Т.П.</w:t>
      </w:r>
      <w:r w:rsidRPr="00D6536B">
        <w:rPr>
          <w:rFonts w:ascii="Times New Roman" w:hAnsi="Times New Roman" w:cs="Times New Roman"/>
          <w:sz w:val="28"/>
          <w:szCs w:val="28"/>
          <w:lang w:val="ru-RU"/>
        </w:rPr>
        <w:t xml:space="preserve"> </w:t>
      </w:r>
      <w:r w:rsidRPr="00B96DEC">
        <w:rPr>
          <w:rFonts w:ascii="Times New Roman" w:hAnsi="Times New Roman" w:cs="Times New Roman"/>
          <w:sz w:val="28"/>
          <w:szCs w:val="28"/>
        </w:rPr>
        <w:t>Економіка природокористування. Харків : Бурун Книга, 2018. 479 с.</w:t>
      </w:r>
    </w:p>
  </w:endnote>
  <w:endnote w:id="29">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Прямухіна Н. В. Раціональне природокористування як складова еколого</w:t>
      </w:r>
      <w:r w:rsidRPr="00D6536B">
        <w:rPr>
          <w:rFonts w:ascii="Times New Roman" w:hAnsi="Times New Roman" w:cs="Times New Roman"/>
          <w:sz w:val="28"/>
          <w:szCs w:val="28"/>
          <w:lang w:val="ru-RU"/>
        </w:rPr>
        <w:t>-</w:t>
      </w:r>
      <w:r w:rsidRPr="00B96DEC">
        <w:rPr>
          <w:rFonts w:ascii="Times New Roman" w:hAnsi="Times New Roman" w:cs="Times New Roman"/>
          <w:sz w:val="28"/>
          <w:szCs w:val="28"/>
        </w:rPr>
        <w:t xml:space="preserve">економічної конкурентоспроможності міських територій. </w:t>
      </w:r>
      <w:r w:rsidRPr="00B96DEC">
        <w:rPr>
          <w:rFonts w:ascii="Times New Roman" w:hAnsi="Times New Roman" w:cs="Times New Roman"/>
          <w:i/>
          <w:sz w:val="28"/>
          <w:szCs w:val="28"/>
        </w:rPr>
        <w:t>Економіка, фінанси, менеджмент.</w:t>
      </w:r>
      <w:r w:rsidRPr="00B96DEC">
        <w:rPr>
          <w:rFonts w:ascii="Times New Roman" w:hAnsi="Times New Roman" w:cs="Times New Roman"/>
          <w:sz w:val="28"/>
          <w:szCs w:val="28"/>
        </w:rPr>
        <w:t xml:space="preserve"> 2019. URL: https://r.donnu.edu.ua/xmlui/handle/123456789/2282?locale-attribute=uk</w:t>
      </w:r>
    </w:p>
  </w:endnote>
  <w:endnote w:id="30">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hyperlink r:id="rId6" w:history="1">
        <w:r w:rsidRPr="00B96DEC">
          <w:rPr>
            <w:rStyle w:val="aa"/>
            <w:rFonts w:ascii="Times New Roman" w:hAnsi="Times New Roman" w:cs="Times New Roman"/>
            <w:sz w:val="28"/>
            <w:szCs w:val="28"/>
          </w:rPr>
          <w:t>https://moodle.znu.edu.ua/pluginfile.php/654037/mod_resource/content/1/lek_5s.pdf</w:t>
        </w:r>
      </w:hyperlink>
      <w:r w:rsidRPr="00D6536B">
        <w:rPr>
          <w:rFonts w:ascii="Times New Roman" w:hAnsi="Times New Roman" w:cs="Times New Roman"/>
          <w:sz w:val="28"/>
          <w:szCs w:val="28"/>
          <w:lang w:val="ru-RU"/>
        </w:rPr>
        <w:t xml:space="preserve"> </w:t>
      </w:r>
    </w:p>
  </w:endnote>
  <w:endnote w:id="31">
    <w:p w:rsidR="00EA1D25" w:rsidRPr="00B96DEC" w:rsidRDefault="00EA1D25" w:rsidP="004A6FD0">
      <w:pPr>
        <w:pStyle w:val="ab"/>
        <w:spacing w:line="360" w:lineRule="auto"/>
        <w:ind w:firstLine="567"/>
        <w:jc w:val="both"/>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Баїк О., Ярмол Л., Сірант М., Попадинець Г. Стецюк Н. Раціональне природокористування як складова екологічної безпеки: економіко-правові аспекти. </w:t>
      </w:r>
      <w:r w:rsidRPr="00B96DEC">
        <w:rPr>
          <w:rFonts w:ascii="Times New Roman" w:hAnsi="Times New Roman" w:cs="Times New Roman"/>
          <w:i/>
          <w:sz w:val="28"/>
          <w:szCs w:val="28"/>
        </w:rPr>
        <w:t>Financial and Credit Activity Problems of Theory and Practice</w:t>
      </w:r>
      <w:r w:rsidRPr="00B96DEC">
        <w:rPr>
          <w:rFonts w:ascii="Times New Roman" w:hAnsi="Times New Roman" w:cs="Times New Roman"/>
          <w:sz w:val="28"/>
          <w:szCs w:val="28"/>
        </w:rPr>
        <w:t>. 2021. № 4(39). C. 429–438. URL: https://doi.org/10.18371/fcaptp.v4i39.241410</w:t>
      </w:r>
    </w:p>
  </w:endnote>
  <w:endnote w:id="32">
    <w:p w:rsidR="00EA1D25" w:rsidRPr="00D6536B" w:rsidRDefault="00EA1D25" w:rsidP="004A6FD0">
      <w:pPr>
        <w:pStyle w:val="ab"/>
        <w:spacing w:line="360" w:lineRule="auto"/>
        <w:ind w:firstLine="567"/>
        <w:jc w:val="both"/>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Прямухіна Н. В. Раціональне природокористування як складова еколого</w:t>
      </w:r>
      <w:r w:rsidRPr="00D6536B">
        <w:rPr>
          <w:rFonts w:ascii="Times New Roman" w:hAnsi="Times New Roman" w:cs="Times New Roman"/>
          <w:sz w:val="28"/>
          <w:szCs w:val="28"/>
          <w:lang w:val="ru-RU"/>
        </w:rPr>
        <w:t>-</w:t>
      </w:r>
      <w:r w:rsidRPr="00B96DEC">
        <w:rPr>
          <w:rFonts w:ascii="Times New Roman" w:hAnsi="Times New Roman" w:cs="Times New Roman"/>
          <w:sz w:val="28"/>
          <w:szCs w:val="28"/>
        </w:rPr>
        <w:t xml:space="preserve">економічної конкурентоспроможності міських територій. </w:t>
      </w:r>
      <w:r w:rsidRPr="00B96DEC">
        <w:rPr>
          <w:rFonts w:ascii="Times New Roman" w:hAnsi="Times New Roman" w:cs="Times New Roman"/>
          <w:i/>
          <w:sz w:val="28"/>
          <w:szCs w:val="28"/>
        </w:rPr>
        <w:t>Економіка, фінанси, менеджмент.</w:t>
      </w:r>
      <w:r w:rsidRPr="00B96DEC">
        <w:rPr>
          <w:rFonts w:ascii="Times New Roman" w:hAnsi="Times New Roman" w:cs="Times New Roman"/>
          <w:sz w:val="28"/>
          <w:szCs w:val="28"/>
        </w:rPr>
        <w:t xml:space="preserve"> 2019. URL: https://r.donnu.edu.ua/xmlui/handle/123456789/2282?locale-attribute=uk</w:t>
      </w:r>
    </w:p>
  </w:endnote>
  <w:endnote w:id="33">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r w:rsidRPr="00B96DEC">
        <w:rPr>
          <w:rFonts w:ascii="Times New Roman" w:hAnsi="Times New Roman" w:cs="Times New Roman"/>
          <w:color w:val="333333"/>
          <w:sz w:val="28"/>
          <w:szCs w:val="28"/>
          <w:shd w:val="clear" w:color="auto" w:fill="FFFFFF"/>
        </w:rPr>
        <w:t>Інфляційний звіт. Квітень 2024 року. Національний банк України. URL: </w:t>
      </w:r>
      <w:hyperlink r:id="rId7" w:history="1">
        <w:r w:rsidRPr="00B96DEC">
          <w:rPr>
            <w:rStyle w:val="aa"/>
            <w:rFonts w:ascii="Times New Roman" w:hAnsi="Times New Roman" w:cs="Times New Roman"/>
            <w:color w:val="0684F0"/>
            <w:sz w:val="28"/>
            <w:szCs w:val="28"/>
            <w:shd w:val="clear" w:color="auto" w:fill="FFFFFF"/>
          </w:rPr>
          <w:t>https://bank.gov.ua/admin_uploads/article/IR_2024-Q2.pdf</w:t>
        </w:r>
      </w:hyperlink>
    </w:p>
  </w:endnote>
  <w:endnote w:id="34">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r w:rsidRPr="00B96DEC">
        <w:rPr>
          <w:rFonts w:ascii="Times New Roman" w:hAnsi="Times New Roman" w:cs="Times New Roman"/>
          <w:color w:val="333333"/>
          <w:sz w:val="28"/>
          <w:szCs w:val="28"/>
          <w:shd w:val="clear" w:color="auto" w:fill="FFFFFF"/>
        </w:rPr>
        <w:t>Добробут у компанії та дефіцит кадрів. Work.ua.URL: </w:t>
      </w:r>
      <w:hyperlink r:id="rId8" w:history="1">
        <w:r w:rsidRPr="00B96DEC">
          <w:rPr>
            <w:rStyle w:val="aa"/>
            <w:rFonts w:ascii="Times New Roman" w:hAnsi="Times New Roman" w:cs="Times New Roman"/>
            <w:color w:val="0684F0"/>
            <w:sz w:val="28"/>
            <w:szCs w:val="28"/>
            <w:shd w:val="clear" w:color="auto" w:fill="FFFFFF"/>
          </w:rPr>
          <w:t>https://www.work.ua/news/ukraine/2667</w:t>
        </w:r>
      </w:hyperlink>
    </w:p>
  </w:endnote>
  <w:endnote w:id="35">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hyperlink r:id="rId9" w:history="1">
        <w:r w:rsidRPr="00B96DEC">
          <w:rPr>
            <w:rStyle w:val="aa"/>
            <w:rFonts w:ascii="Times New Roman" w:hAnsi="Times New Roman" w:cs="Times New Roman"/>
            <w:sz w:val="28"/>
            <w:szCs w:val="28"/>
          </w:rPr>
          <w:t>https://index.minfin.com.ua/ua/labour/unemploy/register/</w:t>
        </w:r>
      </w:hyperlink>
      <w:r w:rsidRPr="00D6536B">
        <w:rPr>
          <w:rFonts w:ascii="Times New Roman" w:hAnsi="Times New Roman" w:cs="Times New Roman"/>
          <w:sz w:val="28"/>
          <w:szCs w:val="28"/>
        </w:rPr>
        <w:t xml:space="preserve"> </w:t>
      </w:r>
    </w:p>
  </w:endnote>
  <w:endnote w:id="36">
    <w:p w:rsidR="00EA1D25" w:rsidRPr="00D6536B" w:rsidRDefault="00EA1D25" w:rsidP="004A6FD0">
      <w:pPr>
        <w:pStyle w:val="ab"/>
        <w:spacing w:line="360" w:lineRule="auto"/>
        <w:ind w:firstLine="567"/>
        <w:rPr>
          <w:rFonts w:ascii="Times New Roman" w:hAnsi="Times New Roman" w:cs="Times New Roman"/>
          <w:sz w:val="28"/>
          <w:szCs w:val="28"/>
          <w:lang w:val="ru-RU"/>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r w:rsidRPr="00B96DEC">
        <w:rPr>
          <w:rFonts w:ascii="Times New Roman" w:hAnsi="Times New Roman" w:cs="Times New Roman"/>
          <w:color w:val="333333"/>
          <w:sz w:val="28"/>
          <w:szCs w:val="28"/>
          <w:shd w:val="clear" w:color="auto" w:fill="FFFFFF"/>
        </w:rPr>
        <w:t>Державна служба зайнятості. URL: </w:t>
      </w:r>
      <w:hyperlink r:id="rId10" w:history="1">
        <w:r w:rsidRPr="00B96DEC">
          <w:rPr>
            <w:rStyle w:val="aa"/>
            <w:rFonts w:ascii="Times New Roman" w:hAnsi="Times New Roman" w:cs="Times New Roman"/>
            <w:color w:val="0684F0"/>
            <w:sz w:val="28"/>
            <w:szCs w:val="28"/>
            <w:shd w:val="clear" w:color="auto" w:fill="FFFFFF"/>
          </w:rPr>
          <w:t>https://dcz.gov.ua/stat/infograph</w:t>
        </w:r>
      </w:hyperlink>
      <w:r w:rsidRPr="00D6536B">
        <w:rPr>
          <w:rFonts w:ascii="Times New Roman" w:hAnsi="Times New Roman" w:cs="Times New Roman"/>
          <w:sz w:val="28"/>
          <w:szCs w:val="28"/>
          <w:lang w:val="ru-RU"/>
        </w:rPr>
        <w:t xml:space="preserve"> </w:t>
      </w:r>
    </w:p>
  </w:endnote>
  <w:endnote w:id="37">
    <w:p w:rsidR="00EA1D25" w:rsidRPr="00B96DEC"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hyperlink r:id="rId11" w:history="1">
        <w:r w:rsidRPr="00B96DEC">
          <w:rPr>
            <w:rStyle w:val="aa"/>
            <w:rFonts w:ascii="Times New Roman" w:hAnsi="Times New Roman" w:cs="Times New Roman"/>
            <w:sz w:val="28"/>
            <w:szCs w:val="28"/>
          </w:rPr>
          <w:t>https://hdr.undp.org/system/files/documents/global-report-document/hdr2023-24reporten.pdf</w:t>
        </w:r>
      </w:hyperlink>
      <w:r w:rsidRPr="00D6536B">
        <w:rPr>
          <w:rFonts w:ascii="Times New Roman" w:hAnsi="Times New Roman" w:cs="Times New Roman"/>
          <w:sz w:val="28"/>
          <w:szCs w:val="28"/>
          <w:lang w:val="ru-RU"/>
        </w:rPr>
        <w:t xml:space="preserve"> </w:t>
      </w:r>
    </w:p>
  </w:endnote>
  <w:endnote w:id="38">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hyperlink r:id="rId12" w:history="1">
        <w:r w:rsidRPr="00B96DEC">
          <w:rPr>
            <w:rStyle w:val="aa"/>
            <w:rFonts w:ascii="Times New Roman" w:hAnsi="Times New Roman" w:cs="Times New Roman"/>
            <w:sz w:val="28"/>
            <w:szCs w:val="28"/>
          </w:rPr>
          <w:t>https://kse.ua/wp-content/uploads/2024/03/Agroviglyad_2_ukr.pdf</w:t>
        </w:r>
      </w:hyperlink>
      <w:r w:rsidRPr="00D6536B">
        <w:rPr>
          <w:rFonts w:ascii="Times New Roman" w:hAnsi="Times New Roman" w:cs="Times New Roman"/>
          <w:sz w:val="28"/>
          <w:szCs w:val="28"/>
        </w:rPr>
        <w:t xml:space="preserve"> </w:t>
      </w:r>
    </w:p>
  </w:endnote>
  <w:endnote w:id="39">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hyperlink r:id="rId13" w:history="1">
        <w:r w:rsidRPr="00B96DEC">
          <w:rPr>
            <w:rStyle w:val="aa"/>
            <w:rFonts w:ascii="Times New Roman" w:hAnsi="Times New Roman" w:cs="Times New Roman"/>
            <w:sz w:val="28"/>
            <w:szCs w:val="28"/>
          </w:rPr>
          <w:t>https://kse.ua/wp-content/uploads/2024/03/Agroviglyad_2_ukr.pdf</w:t>
        </w:r>
      </w:hyperlink>
      <w:r w:rsidRPr="00D6536B">
        <w:rPr>
          <w:rFonts w:ascii="Times New Roman" w:hAnsi="Times New Roman" w:cs="Times New Roman"/>
          <w:sz w:val="28"/>
          <w:szCs w:val="28"/>
        </w:rPr>
        <w:t xml:space="preserve"> </w:t>
      </w:r>
    </w:p>
  </w:endnote>
  <w:endnote w:id="40">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hyperlink r:id="rId14" w:history="1">
        <w:r w:rsidRPr="00B96DEC">
          <w:rPr>
            <w:rStyle w:val="aa"/>
            <w:rFonts w:ascii="Times New Roman" w:hAnsi="Times New Roman" w:cs="Times New Roman"/>
            <w:sz w:val="28"/>
            <w:szCs w:val="28"/>
          </w:rPr>
          <w:t>https://kse.ua/wp-content/uploads/2024/01/Land-Market-in-Ukraine-Q423.pdf</w:t>
        </w:r>
      </w:hyperlink>
      <w:r w:rsidRPr="00D6536B">
        <w:rPr>
          <w:rFonts w:ascii="Times New Roman" w:hAnsi="Times New Roman" w:cs="Times New Roman"/>
          <w:sz w:val="28"/>
          <w:szCs w:val="28"/>
        </w:rPr>
        <w:t xml:space="preserve"> </w:t>
      </w:r>
    </w:p>
  </w:endnote>
  <w:endnote w:id="41">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https://index.minfin.com.ua/ua/finance/budget/cons/income/</w:t>
      </w:r>
    </w:p>
  </w:endnote>
  <w:endnote w:id="42">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https://index.minfin.com.ua/ua/finance/budget/cons/income/</w:t>
      </w:r>
    </w:p>
  </w:endnote>
  <w:endnote w:id="43">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https://index.minfin.com.ua/ua/finance/budget/cons/income/</w:t>
      </w:r>
    </w:p>
  </w:endnote>
  <w:endnote w:id="44">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https://index.minfin.com.ua/ua/economy/gdp/</w:t>
      </w:r>
    </w:p>
  </w:endnote>
  <w:endnote w:id="45">
    <w:p w:rsidR="00EA1D25" w:rsidRPr="00D6536B" w:rsidRDefault="00EA1D25" w:rsidP="004A6FD0">
      <w:pPr>
        <w:pStyle w:val="ab"/>
        <w:spacing w:line="360" w:lineRule="auto"/>
        <w:ind w:firstLine="567"/>
        <w:rPr>
          <w:rFonts w:ascii="Times New Roman" w:hAnsi="Times New Roman" w:cs="Times New Roman"/>
          <w:sz w:val="28"/>
          <w:szCs w:val="28"/>
        </w:rPr>
      </w:pPr>
      <w:r w:rsidRPr="00B96DEC">
        <w:rPr>
          <w:rStyle w:val="ad"/>
          <w:rFonts w:ascii="Times New Roman" w:hAnsi="Times New Roman" w:cs="Times New Roman"/>
          <w:sz w:val="28"/>
          <w:szCs w:val="28"/>
        </w:rPr>
        <w:endnoteRef/>
      </w:r>
      <w:r w:rsidRPr="00B96DEC">
        <w:rPr>
          <w:rFonts w:ascii="Times New Roman" w:hAnsi="Times New Roman" w:cs="Times New Roman"/>
          <w:sz w:val="28"/>
          <w:szCs w:val="28"/>
        </w:rPr>
        <w:t xml:space="preserve"> </w:t>
      </w:r>
      <w:r w:rsidRPr="00D6536B">
        <w:rPr>
          <w:rFonts w:ascii="Times New Roman" w:hAnsi="Times New Roman" w:cs="Times New Roman"/>
          <w:sz w:val="28"/>
          <w:szCs w:val="28"/>
        </w:rPr>
        <w:t xml:space="preserve"> </w:t>
      </w:r>
      <w:r w:rsidRPr="00B96DEC">
        <w:rPr>
          <w:rFonts w:ascii="Times New Roman" w:hAnsi="Times New Roman" w:cs="Times New Roman"/>
          <w:sz w:val="28"/>
          <w:szCs w:val="28"/>
          <w:lang w:val="en-US"/>
        </w:rPr>
        <w:t>https</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index</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minfin</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com</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ua</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ua</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economy</w:t>
      </w:r>
      <w:r w:rsidRPr="00D6536B">
        <w:rPr>
          <w:rFonts w:ascii="Times New Roman" w:hAnsi="Times New Roman" w:cs="Times New Roman"/>
          <w:sz w:val="28"/>
          <w:szCs w:val="28"/>
        </w:rPr>
        <w:t>/</w:t>
      </w:r>
      <w:r w:rsidRPr="00B96DEC">
        <w:rPr>
          <w:rFonts w:ascii="Times New Roman" w:hAnsi="Times New Roman" w:cs="Times New Roman"/>
          <w:sz w:val="28"/>
          <w:szCs w:val="28"/>
          <w:lang w:val="en-US"/>
        </w:rPr>
        <w:t>gdp</w:t>
      </w:r>
      <w:r w:rsidRPr="00D6536B">
        <w:rPr>
          <w:rFonts w:ascii="Times New Roman" w:hAnsi="Times New Roman" w:cs="Times New Roman"/>
          <w:sz w:val="28"/>
          <w:szCs w:val="28"/>
        </w:rPr>
        <w:t>/</w:t>
      </w:r>
    </w:p>
  </w:endnote>
  <w:endnote w:id="46">
    <w:p w:rsidR="00EA1D25" w:rsidRPr="00D6536B" w:rsidRDefault="00EA1D25" w:rsidP="00CB5104">
      <w:pPr>
        <w:pStyle w:val="11"/>
        <w:ind w:firstLine="567"/>
      </w:pPr>
      <w:r>
        <w:rPr>
          <w:rStyle w:val="ad"/>
        </w:rPr>
        <w:endnoteRef/>
      </w:r>
      <w:r>
        <w:t xml:space="preserve"> </w:t>
      </w:r>
      <w:r w:rsidRPr="00B96DEC">
        <w:t>https://consultant.net.ua/consultant-article/6712</w:t>
      </w:r>
    </w:p>
  </w:endnote>
  <w:endnote w:id="47">
    <w:p w:rsidR="00EA1D25" w:rsidRPr="00D6536B" w:rsidRDefault="00EA1D25" w:rsidP="00CB5104">
      <w:pPr>
        <w:pStyle w:val="11"/>
        <w:ind w:firstLine="567"/>
      </w:pPr>
      <w:r w:rsidRPr="00B96DEC">
        <w:rPr>
          <w:rStyle w:val="ad"/>
        </w:rPr>
        <w:endnoteRef/>
      </w:r>
      <w:r w:rsidRPr="00B96DEC">
        <w:t xml:space="preserve"> </w:t>
      </w:r>
      <w:r w:rsidRPr="00B96DEC">
        <w:rPr>
          <w:rStyle w:val="rvts23"/>
        </w:rPr>
        <w:t>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w:t>
      </w:r>
      <w:r w:rsidRPr="00D6536B">
        <w:rPr>
          <w:rStyle w:val="rvts23"/>
          <w:rFonts w:eastAsiaTheme="majorEastAsia"/>
        </w:rPr>
        <w:t xml:space="preserve"> </w:t>
      </w:r>
      <w:bookmarkStart w:id="30" w:name="n194"/>
      <w:bookmarkEnd w:id="30"/>
      <w:r w:rsidRPr="00B96DEC">
        <w:rPr>
          <w:rStyle w:val="rvts44"/>
        </w:rPr>
        <w:t>(Відомості Верховної Ради України (ВВР), 2023, № 28, ст.97)</w:t>
      </w:r>
      <w:r w:rsidRPr="00D6536B">
        <w:rPr>
          <w:rStyle w:val="rvts44"/>
        </w:rPr>
        <w:t xml:space="preserve"> </w:t>
      </w:r>
      <w:r w:rsidRPr="00B96DEC">
        <w:rPr>
          <w:rStyle w:val="rvts44"/>
          <w:lang w:val="en-US"/>
        </w:rPr>
        <w:t>URL</w:t>
      </w:r>
      <w:r w:rsidRPr="00D6536B">
        <w:rPr>
          <w:rStyle w:val="rvts44"/>
        </w:rPr>
        <w:t xml:space="preserve">: </w:t>
      </w:r>
      <w:r w:rsidRPr="00B96DEC">
        <w:t xml:space="preserve"> </w:t>
      </w:r>
      <w:hyperlink r:id="rId15" w:anchor="Text" w:history="1">
        <w:r w:rsidRPr="00B96DEC">
          <w:rPr>
            <w:rStyle w:val="aa"/>
          </w:rPr>
          <w:t>https://zakon.rada.gov.ua/laws/show/2698-20#Text</w:t>
        </w:r>
      </w:hyperlink>
      <w:r w:rsidRPr="00D6536B">
        <w:rPr>
          <w:color w:val="000000"/>
        </w:rPr>
        <w:t xml:space="preserve"> </w:t>
      </w:r>
    </w:p>
  </w:endnote>
  <w:endnote w:id="48">
    <w:p w:rsidR="00EA1D25" w:rsidRPr="00D6536B" w:rsidRDefault="00EA1D25" w:rsidP="00CB5104">
      <w:pPr>
        <w:pStyle w:val="11"/>
        <w:ind w:firstLine="567"/>
      </w:pPr>
      <w:r w:rsidRPr="00B96DEC">
        <w:rPr>
          <w:rStyle w:val="ad"/>
        </w:rPr>
        <w:endnoteRef/>
      </w:r>
      <w:r w:rsidRPr="00B96DEC">
        <w:t xml:space="preserve"> </w:t>
      </w:r>
      <w:r w:rsidRPr="00B96DEC">
        <w:rPr>
          <w:rStyle w:val="rvts23"/>
        </w:rPr>
        <w:t>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w:t>
      </w:r>
      <w:r w:rsidRPr="00D6536B">
        <w:rPr>
          <w:rStyle w:val="rvts23"/>
          <w:rFonts w:eastAsiaTheme="majorEastAsia"/>
        </w:rPr>
        <w:t xml:space="preserve">. </w:t>
      </w:r>
      <w:bookmarkStart w:id="31" w:name="n272"/>
      <w:bookmarkEnd w:id="31"/>
      <w:r w:rsidRPr="00B96DEC">
        <w:rPr>
          <w:rStyle w:val="rvts44"/>
        </w:rPr>
        <w:t>Відомості Верховної Ради (ВВР), 2023, № 68, ст.237</w:t>
      </w:r>
      <w:r w:rsidRPr="00D6536B">
        <w:rPr>
          <w:rStyle w:val="rvts44"/>
        </w:rPr>
        <w:t xml:space="preserve"> </w:t>
      </w:r>
      <w:r w:rsidRPr="00B96DEC">
        <w:rPr>
          <w:rStyle w:val="rvts44"/>
          <w:lang w:val="en-US"/>
        </w:rPr>
        <w:t>URL</w:t>
      </w:r>
      <w:r w:rsidRPr="00D6536B">
        <w:rPr>
          <w:rStyle w:val="rvts44"/>
        </w:rPr>
        <w:t xml:space="preserve">: </w:t>
      </w:r>
      <w:hyperlink r:id="rId16" w:anchor="Text" w:history="1">
        <w:r w:rsidRPr="00B96DEC">
          <w:rPr>
            <w:rStyle w:val="aa"/>
            <w:lang w:val="en-US"/>
          </w:rPr>
          <w:t>https</w:t>
        </w:r>
        <w:r w:rsidRPr="00D6536B">
          <w:rPr>
            <w:rStyle w:val="aa"/>
          </w:rPr>
          <w:t>://</w:t>
        </w:r>
        <w:r w:rsidRPr="00B96DEC">
          <w:rPr>
            <w:rStyle w:val="aa"/>
            <w:lang w:val="en-US"/>
          </w:rPr>
          <w:t>zakon</w:t>
        </w:r>
        <w:r w:rsidRPr="00D6536B">
          <w:rPr>
            <w:rStyle w:val="aa"/>
          </w:rPr>
          <w:t>.</w:t>
        </w:r>
        <w:r w:rsidRPr="00B96DEC">
          <w:rPr>
            <w:rStyle w:val="aa"/>
            <w:lang w:val="en-US"/>
          </w:rPr>
          <w:t>rada</w:t>
        </w:r>
        <w:r w:rsidRPr="00D6536B">
          <w:rPr>
            <w:rStyle w:val="aa"/>
          </w:rPr>
          <w:t>.</w:t>
        </w:r>
        <w:r w:rsidRPr="00B96DEC">
          <w:rPr>
            <w:rStyle w:val="aa"/>
            <w:lang w:val="en-US"/>
          </w:rPr>
          <w:t>gov</w:t>
        </w:r>
        <w:r w:rsidRPr="00D6536B">
          <w:rPr>
            <w:rStyle w:val="aa"/>
          </w:rPr>
          <w:t>.</w:t>
        </w:r>
        <w:r w:rsidRPr="00B96DEC">
          <w:rPr>
            <w:rStyle w:val="aa"/>
            <w:lang w:val="en-US"/>
          </w:rPr>
          <w:t>ua</w:t>
        </w:r>
        <w:r w:rsidRPr="00D6536B">
          <w:rPr>
            <w:rStyle w:val="aa"/>
          </w:rPr>
          <w:t>/</w:t>
        </w:r>
        <w:r w:rsidRPr="00B96DEC">
          <w:rPr>
            <w:rStyle w:val="aa"/>
            <w:lang w:val="en-US"/>
          </w:rPr>
          <w:t>laws</w:t>
        </w:r>
        <w:r w:rsidRPr="00D6536B">
          <w:rPr>
            <w:rStyle w:val="aa"/>
          </w:rPr>
          <w:t>/</w:t>
        </w:r>
        <w:r w:rsidRPr="00B96DEC">
          <w:rPr>
            <w:rStyle w:val="aa"/>
            <w:lang w:val="en-US"/>
          </w:rPr>
          <w:t>show</w:t>
        </w:r>
        <w:r w:rsidRPr="00D6536B">
          <w:rPr>
            <w:rStyle w:val="aa"/>
          </w:rPr>
          <w:t>/3050-20#</w:t>
        </w:r>
        <w:r w:rsidRPr="00B96DEC">
          <w:rPr>
            <w:rStyle w:val="aa"/>
            <w:lang w:val="en-US"/>
          </w:rPr>
          <w:t>Text</w:t>
        </w:r>
      </w:hyperlink>
      <w:r w:rsidRPr="00D6536B">
        <w:rPr>
          <w:rStyle w:val="rvts44"/>
        </w:rPr>
        <w:t xml:space="preserve"> </w:t>
      </w:r>
    </w:p>
  </w:endnote>
  <w:endnote w:id="49">
    <w:p w:rsidR="00EA1D25" w:rsidRPr="00B96DEC" w:rsidRDefault="00EA1D25" w:rsidP="00CB5104">
      <w:pPr>
        <w:pStyle w:val="11"/>
        <w:ind w:firstLine="567"/>
      </w:pPr>
      <w:r w:rsidRPr="00B96DEC">
        <w:rPr>
          <w:rStyle w:val="ad"/>
        </w:rPr>
        <w:endnoteRef/>
      </w:r>
      <w:r w:rsidRPr="00B96DEC">
        <w:t xml:space="preserve"> </w:t>
      </w:r>
      <w:bookmarkStart w:id="32" w:name="n3"/>
      <w:bookmarkEnd w:id="32"/>
      <w:r w:rsidRPr="00B96DEC">
        <w:t xml:space="preserve">Закон України Про внесення змін до деяких законодавчих актів України щодо підвищення ефективності використання земель сільськогосподарського призначення державної власності. </w:t>
      </w:r>
      <w:r w:rsidRPr="00B96DEC">
        <w:rPr>
          <w:lang w:val="en-US"/>
        </w:rPr>
        <w:t>URL</w:t>
      </w:r>
      <w:r w:rsidRPr="00D6536B">
        <w:rPr>
          <w:lang w:val="ru-RU"/>
        </w:rPr>
        <w:t xml:space="preserve">: </w:t>
      </w:r>
      <w:hyperlink r:id="rId17" w:anchor="Text" w:history="1">
        <w:r w:rsidRPr="00B96DEC">
          <w:rPr>
            <w:rStyle w:val="aa"/>
            <w:lang w:val="en-US"/>
          </w:rPr>
          <w:t>https</w:t>
        </w:r>
        <w:r w:rsidRPr="00D6536B">
          <w:rPr>
            <w:rStyle w:val="aa"/>
            <w:lang w:val="ru-RU"/>
          </w:rPr>
          <w:t>://</w:t>
        </w:r>
        <w:r w:rsidRPr="00B96DEC">
          <w:rPr>
            <w:rStyle w:val="aa"/>
            <w:lang w:val="en-US"/>
          </w:rPr>
          <w:t>zakon</w:t>
        </w:r>
        <w:r w:rsidRPr="00D6536B">
          <w:rPr>
            <w:rStyle w:val="aa"/>
            <w:lang w:val="ru-RU"/>
          </w:rPr>
          <w:t>.</w:t>
        </w:r>
        <w:r w:rsidRPr="00B96DEC">
          <w:rPr>
            <w:rStyle w:val="aa"/>
            <w:lang w:val="en-US"/>
          </w:rPr>
          <w:t>rada</w:t>
        </w:r>
        <w:r w:rsidRPr="00D6536B">
          <w:rPr>
            <w:rStyle w:val="aa"/>
            <w:lang w:val="ru-RU"/>
          </w:rPr>
          <w:t>.</w:t>
        </w:r>
        <w:r w:rsidRPr="00B96DEC">
          <w:rPr>
            <w:rStyle w:val="aa"/>
            <w:lang w:val="en-US"/>
          </w:rPr>
          <w:t>gov</w:t>
        </w:r>
        <w:r w:rsidRPr="00D6536B">
          <w:rPr>
            <w:rStyle w:val="aa"/>
            <w:lang w:val="ru-RU"/>
          </w:rPr>
          <w:t>.</w:t>
        </w:r>
        <w:r w:rsidRPr="00B96DEC">
          <w:rPr>
            <w:rStyle w:val="aa"/>
            <w:lang w:val="en-US"/>
          </w:rPr>
          <w:t>ua</w:t>
        </w:r>
        <w:r w:rsidRPr="00D6536B">
          <w:rPr>
            <w:rStyle w:val="aa"/>
            <w:lang w:val="ru-RU"/>
          </w:rPr>
          <w:t>/</w:t>
        </w:r>
        <w:r w:rsidRPr="00B96DEC">
          <w:rPr>
            <w:rStyle w:val="aa"/>
            <w:lang w:val="en-US"/>
          </w:rPr>
          <w:t>laws</w:t>
        </w:r>
        <w:r w:rsidRPr="00D6536B">
          <w:rPr>
            <w:rStyle w:val="aa"/>
            <w:lang w:val="ru-RU"/>
          </w:rPr>
          <w:t>/</w:t>
        </w:r>
        <w:r w:rsidRPr="00B96DEC">
          <w:rPr>
            <w:rStyle w:val="aa"/>
            <w:lang w:val="en-US"/>
          </w:rPr>
          <w:t>show</w:t>
        </w:r>
        <w:r w:rsidRPr="00D6536B">
          <w:rPr>
            <w:rStyle w:val="aa"/>
            <w:lang w:val="ru-RU"/>
          </w:rPr>
          <w:t>/3272-20#</w:t>
        </w:r>
        <w:r w:rsidRPr="00B96DEC">
          <w:rPr>
            <w:rStyle w:val="aa"/>
            <w:lang w:val="en-US"/>
          </w:rPr>
          <w:t>Text</w:t>
        </w:r>
      </w:hyperlink>
      <w:r w:rsidRPr="00D6536B">
        <w:rPr>
          <w:lang w:val="ru-RU"/>
        </w:rPr>
        <w:t xml:space="preserve"> </w:t>
      </w:r>
    </w:p>
  </w:endnote>
  <w:endnote w:id="50">
    <w:p w:rsidR="00EA1D25" w:rsidRDefault="00EA1D25" w:rsidP="00CB5104">
      <w:pPr>
        <w:pStyle w:val="11"/>
        <w:ind w:firstLine="567"/>
        <w:rPr>
          <w:rFonts w:ascii="Arial" w:hAnsi="Arial" w:cs="Arial"/>
          <w:color w:val="000000"/>
        </w:rPr>
      </w:pPr>
      <w:r w:rsidRPr="00B96DEC">
        <w:rPr>
          <w:rStyle w:val="ad"/>
        </w:rPr>
        <w:endnoteRef/>
      </w:r>
      <w:r w:rsidRPr="00B96DEC">
        <w:t xml:space="preserve"> ЗЕМЕЛЬНИЙ РИНОК В УКРАЇНІ</w:t>
      </w:r>
      <w:r w:rsidRPr="00D6536B">
        <w:rPr>
          <w:lang w:val="ru-RU"/>
        </w:rPr>
        <w:t xml:space="preserve">. </w:t>
      </w:r>
      <w:r w:rsidRPr="001D7D4C">
        <w:rPr>
          <w:lang w:val="en-US"/>
        </w:rPr>
        <w:t xml:space="preserve">2023. </w:t>
      </w:r>
      <w:r w:rsidRPr="00B96DEC">
        <w:rPr>
          <w:lang w:val="en-US"/>
        </w:rPr>
        <w:t>URL</w:t>
      </w:r>
      <w:r w:rsidRPr="001D7D4C">
        <w:rPr>
          <w:lang w:val="en-US"/>
        </w:rPr>
        <w:t xml:space="preserve">:  </w:t>
      </w:r>
      <w:hyperlink r:id="rId18" w:history="1">
        <w:r w:rsidRPr="00B96DEC">
          <w:rPr>
            <w:rStyle w:val="aa"/>
          </w:rPr>
          <w:t>https://decentralization.ua/uploads/attachment/document/1298/%D0%90%D0%BD%D0%B0%D0%BB%D1%96%D1%82%D0%B8%D1%87%D0%BD%D0%B8%D0%B9_%D0%BE%D0%B3%D0%BB%D1%8F%D0%B4_%D1%81%D1%82%D0%B0%D0%BD%D1%83_%D0%B7%D0%B5%D0%BC%D0%B5%D0%BB%D1%8C%D0%BD%D0%BE%D0%B3%D0%BE_%D1%80%D0%B8%D0%BD%D0%BA%D1%83_%D0%B2_%D0%A3%D0%BA%D1%80%D0%B0%D1%97%D0%BD%D1%96_%D1%87%D0%B5%D1%80%D0%B2%D0%B5%D0%BD%D1%8C_2023.pdf</w:t>
        </w:r>
      </w:hyperlink>
      <w:r w:rsidRPr="001D7D4C">
        <w:rPr>
          <w:rFonts w:ascii="Arial" w:hAnsi="Arial" w:cs="Arial"/>
          <w:color w:val="000000"/>
          <w:lang w:val="en-US"/>
        </w:rPr>
        <w:t xml:space="preserve"> </w:t>
      </w: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Default="00EA1D25" w:rsidP="00CB5104">
      <w:pPr>
        <w:pStyle w:val="11"/>
        <w:ind w:firstLine="567"/>
        <w:rPr>
          <w:rFonts w:ascii="Arial" w:hAnsi="Arial" w:cs="Arial"/>
          <w:color w:val="000000"/>
        </w:rPr>
      </w:pPr>
    </w:p>
    <w:p w:rsidR="00EA1D25" w:rsidRPr="00BF54E9" w:rsidRDefault="00EA1D25" w:rsidP="00BF54E9">
      <w:pPr>
        <w:pStyle w:val="11"/>
        <w:ind w:firstLine="567"/>
        <w:jc w:val="center"/>
        <w:rPr>
          <w:b/>
          <w:bCs/>
        </w:rPr>
      </w:pPr>
      <w:r w:rsidRPr="00BF54E9">
        <w:rPr>
          <w:b/>
          <w:bCs/>
        </w:rPr>
        <w:t>Декларація</w:t>
      </w:r>
    </w:p>
    <w:p w:rsidR="00EA1D25" w:rsidRPr="00BF54E9" w:rsidRDefault="00EA1D25" w:rsidP="00BF54E9">
      <w:pPr>
        <w:pStyle w:val="11"/>
        <w:ind w:firstLine="567"/>
        <w:jc w:val="center"/>
        <w:rPr>
          <w:b/>
          <w:bCs/>
        </w:rPr>
      </w:pPr>
      <w:r w:rsidRPr="00BF54E9">
        <w:rPr>
          <w:b/>
          <w:bCs/>
        </w:rPr>
        <w:t>академічної доброчесності</w:t>
      </w:r>
    </w:p>
    <w:p w:rsidR="00EA1D25" w:rsidRPr="00BF54E9" w:rsidRDefault="00EA1D25" w:rsidP="00BF54E9">
      <w:pPr>
        <w:pStyle w:val="11"/>
        <w:ind w:firstLine="567"/>
        <w:jc w:val="center"/>
        <w:rPr>
          <w:b/>
          <w:bCs/>
        </w:rPr>
      </w:pPr>
      <w:r w:rsidRPr="00BF54E9">
        <w:rPr>
          <w:b/>
          <w:bCs/>
        </w:rPr>
        <w:t>здобувача вищої освіти ЗНУ</w:t>
      </w:r>
    </w:p>
    <w:p w:rsidR="00EA1D25" w:rsidRDefault="00EA1D25" w:rsidP="00BF54E9">
      <w:pPr>
        <w:pStyle w:val="11"/>
        <w:ind w:firstLine="567"/>
      </w:pPr>
    </w:p>
    <w:p w:rsidR="00EA1D25" w:rsidRDefault="00EA1D25" w:rsidP="00506F46">
      <w:pPr>
        <w:pStyle w:val="11"/>
        <w:ind w:firstLine="567"/>
      </w:pPr>
      <w:r>
        <w:t xml:space="preserve">Я, Бондаренко Володимир Геннадійович, студент 2 курсу </w:t>
      </w:r>
      <w:proofErr w:type="spellStart"/>
      <w:r>
        <w:t>мaгістрaтури</w:t>
      </w:r>
      <w:proofErr w:type="spellEnd"/>
      <w:r>
        <w:t xml:space="preserve">, денної форми </w:t>
      </w:r>
      <w:proofErr w:type="spellStart"/>
      <w:r>
        <w:t>нaвчaння</w:t>
      </w:r>
      <w:proofErr w:type="spellEnd"/>
      <w:r>
        <w:t xml:space="preserve">, </w:t>
      </w:r>
      <w:proofErr w:type="spellStart"/>
      <w:r>
        <w:t>фaкультету</w:t>
      </w:r>
      <w:proofErr w:type="spellEnd"/>
      <w:r>
        <w:t xml:space="preserve"> економічного, </w:t>
      </w:r>
      <w:proofErr w:type="spellStart"/>
      <w:r>
        <w:t>спеціaльності</w:t>
      </w:r>
      <w:proofErr w:type="spellEnd"/>
      <w:r>
        <w:t xml:space="preserve"> 051 «</w:t>
      </w:r>
      <w:proofErr w:type="spellStart"/>
      <w:r>
        <w:t>Економікa</w:t>
      </w:r>
      <w:proofErr w:type="spellEnd"/>
      <w:r>
        <w:t xml:space="preserve">» освітньо-професійної </w:t>
      </w:r>
      <w:proofErr w:type="spellStart"/>
      <w:r>
        <w:t>прогрaми</w:t>
      </w:r>
      <w:proofErr w:type="spellEnd"/>
      <w:r>
        <w:t xml:space="preserve"> «Міжнародна економіка», </w:t>
      </w:r>
      <w:proofErr w:type="spellStart"/>
      <w:r>
        <w:t>aдресa</w:t>
      </w:r>
      <w:proofErr w:type="spellEnd"/>
      <w:r>
        <w:t xml:space="preserve"> електронної пошти </w:t>
      </w:r>
      <w:hyperlink r:id="rId19" w:history="1">
        <w:r w:rsidRPr="00E82CB4">
          <w:rPr>
            <w:rStyle w:val="aa"/>
          </w:rPr>
          <w:t>bomikav@gmail.com</w:t>
        </w:r>
      </w:hyperlink>
      <w:r>
        <w:t xml:space="preserve"> .</w:t>
      </w:r>
    </w:p>
    <w:p w:rsidR="00EA1D25" w:rsidRDefault="00EA1D25" w:rsidP="00BF54E9">
      <w:pPr>
        <w:pStyle w:val="11"/>
        <w:ind w:firstLine="567"/>
        <w:jc w:val="left"/>
      </w:pPr>
      <w:r>
        <w:t xml:space="preserve">- підтверджую, що </w:t>
      </w:r>
      <w:proofErr w:type="spellStart"/>
      <w:r>
        <w:t>нaписaнa</w:t>
      </w:r>
      <w:proofErr w:type="spellEnd"/>
      <w:r>
        <w:t xml:space="preserve"> мною </w:t>
      </w:r>
      <w:proofErr w:type="spellStart"/>
      <w:r>
        <w:t>квaліфікaційнa</w:t>
      </w:r>
      <w:proofErr w:type="spellEnd"/>
      <w:r>
        <w:t xml:space="preserve"> </w:t>
      </w:r>
      <w:proofErr w:type="spellStart"/>
      <w:r>
        <w:t>роботa</w:t>
      </w:r>
      <w:proofErr w:type="spellEnd"/>
      <w:r>
        <w:t xml:space="preserve"> </w:t>
      </w:r>
      <w:proofErr w:type="spellStart"/>
      <w:r>
        <w:t>нa</w:t>
      </w:r>
      <w:proofErr w:type="spellEnd"/>
      <w:r>
        <w:t xml:space="preserve"> тему:</w:t>
      </w:r>
    </w:p>
    <w:p w:rsidR="00EA1D25" w:rsidRDefault="00EA1D25" w:rsidP="00506F46">
      <w:pPr>
        <w:pStyle w:val="11"/>
        <w:ind w:firstLine="0"/>
        <w:jc w:val="left"/>
      </w:pPr>
      <w:r>
        <w:t>«</w:t>
      </w:r>
      <w:r w:rsidRPr="008F0289">
        <w:rPr>
          <w:color w:val="000000" w:themeColor="text1"/>
        </w:rPr>
        <w:t>Земельна рента (абсолютна, диференціальна) в розрахунках добробуту громадян та соціальної справедливості</w:t>
      </w:r>
      <w:r>
        <w:t xml:space="preserve">» </w:t>
      </w:r>
      <w:proofErr w:type="spellStart"/>
      <w:r>
        <w:t>відповідaє</w:t>
      </w:r>
      <w:proofErr w:type="spellEnd"/>
      <w:r>
        <w:t xml:space="preserve"> </w:t>
      </w:r>
      <w:proofErr w:type="spellStart"/>
      <w:r>
        <w:t>вимогaм</w:t>
      </w:r>
      <w:proofErr w:type="spellEnd"/>
      <w:r>
        <w:t xml:space="preserve"> </w:t>
      </w:r>
      <w:proofErr w:type="spellStart"/>
      <w:r>
        <w:t>aкaдемічної</w:t>
      </w:r>
      <w:proofErr w:type="spellEnd"/>
      <w:r>
        <w:t xml:space="preserve"> доброчесності </w:t>
      </w:r>
      <w:proofErr w:type="spellStart"/>
      <w:r>
        <w:t>тa</w:t>
      </w:r>
      <w:proofErr w:type="spellEnd"/>
      <w:r>
        <w:t xml:space="preserve"> не містить порушень, що </w:t>
      </w:r>
      <w:proofErr w:type="spellStart"/>
      <w:r>
        <w:t>визнaчені</w:t>
      </w:r>
      <w:proofErr w:type="spellEnd"/>
      <w:r>
        <w:t xml:space="preserve"> у ст. 42 </w:t>
      </w:r>
      <w:proofErr w:type="spellStart"/>
      <w:r>
        <w:t>Зaкону</w:t>
      </w:r>
      <w:proofErr w:type="spellEnd"/>
      <w:r>
        <w:t xml:space="preserve"> </w:t>
      </w:r>
      <w:proofErr w:type="spellStart"/>
      <w:r>
        <w:t>Укрaїни</w:t>
      </w:r>
      <w:proofErr w:type="spellEnd"/>
      <w:r>
        <w:t xml:space="preserve"> «Про освіту», зі змістом яких </w:t>
      </w:r>
      <w:proofErr w:type="spellStart"/>
      <w:r>
        <w:t>ознaйомлений</w:t>
      </w:r>
      <w:proofErr w:type="spellEnd"/>
      <w:r>
        <w:t>;</w:t>
      </w:r>
    </w:p>
    <w:p w:rsidR="00EA1D25" w:rsidRDefault="00EA1D25" w:rsidP="00BF54E9">
      <w:pPr>
        <w:pStyle w:val="11"/>
        <w:ind w:firstLine="567"/>
      </w:pPr>
      <w:r>
        <w:t xml:space="preserve">- </w:t>
      </w:r>
      <w:proofErr w:type="spellStart"/>
      <w:r>
        <w:t>зaявляю</w:t>
      </w:r>
      <w:proofErr w:type="spellEnd"/>
      <w:r>
        <w:t xml:space="preserve">, що </w:t>
      </w:r>
      <w:proofErr w:type="spellStart"/>
      <w:r>
        <w:t>нaдaнa</w:t>
      </w:r>
      <w:proofErr w:type="spellEnd"/>
      <w:r>
        <w:t xml:space="preserve"> мною для перевірки </w:t>
      </w:r>
      <w:proofErr w:type="spellStart"/>
      <w:r>
        <w:t>електроннa</w:t>
      </w:r>
      <w:proofErr w:type="spellEnd"/>
      <w:r>
        <w:t xml:space="preserve"> версія роботи є</w:t>
      </w:r>
    </w:p>
    <w:p w:rsidR="00EA1D25" w:rsidRDefault="00EA1D25" w:rsidP="00BF54E9">
      <w:pPr>
        <w:pStyle w:val="11"/>
        <w:ind w:firstLine="0"/>
      </w:pPr>
      <w:r>
        <w:t xml:space="preserve">ідентичною її </w:t>
      </w:r>
      <w:proofErr w:type="spellStart"/>
      <w:r>
        <w:t>друковaній</w:t>
      </w:r>
      <w:proofErr w:type="spellEnd"/>
      <w:r>
        <w:t xml:space="preserve"> версії;</w:t>
      </w:r>
    </w:p>
    <w:p w:rsidR="00EA1D25" w:rsidRDefault="00EA1D25" w:rsidP="00506F46">
      <w:pPr>
        <w:pStyle w:val="11"/>
        <w:ind w:firstLine="567"/>
      </w:pPr>
      <w:r>
        <w:t xml:space="preserve">- згоден </w:t>
      </w:r>
      <w:proofErr w:type="spellStart"/>
      <w:r>
        <w:t>нa</w:t>
      </w:r>
      <w:proofErr w:type="spellEnd"/>
      <w:r>
        <w:t xml:space="preserve"> перевірку моєї роботи </w:t>
      </w:r>
      <w:proofErr w:type="spellStart"/>
      <w:r>
        <w:t>нa</w:t>
      </w:r>
      <w:proofErr w:type="spellEnd"/>
      <w:r>
        <w:t xml:space="preserve"> відповідність критеріям </w:t>
      </w:r>
      <w:proofErr w:type="spellStart"/>
      <w:r>
        <w:t>aкaдемічної</w:t>
      </w:r>
      <w:proofErr w:type="spellEnd"/>
      <w:r>
        <w:t xml:space="preserve"> доброчесності у будь-який спосіб, у тому числі </w:t>
      </w:r>
      <w:proofErr w:type="spellStart"/>
      <w:r>
        <w:t>зa</w:t>
      </w:r>
      <w:proofErr w:type="spellEnd"/>
      <w:r>
        <w:t xml:space="preserve"> допомогою Інтернет-системи, a </w:t>
      </w:r>
      <w:proofErr w:type="spellStart"/>
      <w:r>
        <w:t>тaкож</w:t>
      </w:r>
      <w:proofErr w:type="spellEnd"/>
      <w:r>
        <w:t xml:space="preserve"> </w:t>
      </w:r>
      <w:proofErr w:type="spellStart"/>
      <w:r>
        <w:t>нa</w:t>
      </w:r>
      <w:proofErr w:type="spellEnd"/>
      <w:r>
        <w:t xml:space="preserve"> </w:t>
      </w:r>
      <w:proofErr w:type="spellStart"/>
      <w:r>
        <w:t>aрхівувaння</w:t>
      </w:r>
      <w:proofErr w:type="spellEnd"/>
      <w:r>
        <w:t xml:space="preserve"> роботи в </w:t>
      </w:r>
      <w:proofErr w:type="spellStart"/>
      <w:r>
        <w:t>бaзі</w:t>
      </w:r>
      <w:proofErr w:type="spellEnd"/>
      <w:r>
        <w:t xml:space="preserve"> </w:t>
      </w:r>
      <w:proofErr w:type="spellStart"/>
      <w:r>
        <w:t>дaних</w:t>
      </w:r>
      <w:proofErr w:type="spellEnd"/>
      <w:r>
        <w:t xml:space="preserve"> цієї системи.</w:t>
      </w:r>
    </w:p>
    <w:p w:rsidR="00EA1D25" w:rsidRDefault="00EA1D25" w:rsidP="00BF54E9">
      <w:pPr>
        <w:pStyle w:val="11"/>
        <w:ind w:firstLine="567"/>
      </w:pPr>
    </w:p>
    <w:p w:rsidR="00EA1D25" w:rsidRPr="00BF54E9" w:rsidRDefault="00EA1D25" w:rsidP="001D7D4C">
      <w:pPr>
        <w:pStyle w:val="11"/>
        <w:ind w:firstLine="567"/>
        <w:rPr>
          <w:i/>
          <w:iCs/>
        </w:rPr>
      </w:pPr>
      <w:r w:rsidRPr="00BF54E9">
        <w:rPr>
          <w:i/>
          <w:iCs/>
        </w:rPr>
        <w:t>Дата 17.11.2024 Підпис</w:t>
      </w:r>
      <w:r>
        <w:rPr>
          <w:i/>
          <w:iCs/>
        </w:rPr>
        <w:t xml:space="preserve">    </w:t>
      </w:r>
      <w:r w:rsidRPr="001D7D4C">
        <w:rPr>
          <w:i/>
          <w:iCs/>
          <w:noProof/>
        </w:rPr>
        <w:drawing>
          <wp:inline distT="0" distB="0" distL="0" distR="0" wp14:anchorId="59519258" wp14:editId="29682BF0">
            <wp:extent cx="676415" cy="385780"/>
            <wp:effectExtent l="0" t="0" r="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1" b="2303"/>
                    <a:stretch/>
                  </pic:blipFill>
                  <pic:spPr bwMode="auto">
                    <a:xfrm>
                      <a:off x="0" y="0"/>
                      <a:ext cx="676415" cy="385780"/>
                    </a:xfrm>
                    <a:prstGeom prst="rect">
                      <a:avLst/>
                    </a:prstGeom>
                    <a:noFill/>
                    <a:ln>
                      <a:noFill/>
                    </a:ln>
                    <a:extLst>
                      <a:ext uri="{53640926-AAD7-44D8-BBD7-CCE9431645EC}">
                        <a14:shadowObscured xmlns:a14="http://schemas.microsoft.com/office/drawing/2010/main"/>
                      </a:ext>
                    </a:extLst>
                  </pic:spPr>
                </pic:pic>
              </a:graphicData>
            </a:graphic>
          </wp:inline>
        </w:drawing>
      </w:r>
      <w:r w:rsidRPr="00BF54E9">
        <w:rPr>
          <w:i/>
          <w:iCs/>
        </w:rPr>
        <w:t xml:space="preserve"> </w:t>
      </w:r>
      <w:r>
        <w:rPr>
          <w:i/>
          <w:iCs/>
        </w:rPr>
        <w:t xml:space="preserve">  Бондаренко</w:t>
      </w:r>
      <w:r w:rsidRPr="00BF54E9">
        <w:rPr>
          <w:i/>
          <w:iCs/>
        </w:rPr>
        <w:t xml:space="preserve"> </w:t>
      </w:r>
      <w:r>
        <w:rPr>
          <w:i/>
          <w:iCs/>
        </w:rPr>
        <w:t>В</w:t>
      </w:r>
      <w:r w:rsidRPr="00BF54E9">
        <w:rPr>
          <w:i/>
          <w:iCs/>
        </w:rPr>
        <w:t xml:space="preserve">. </w:t>
      </w:r>
      <w:r>
        <w:rPr>
          <w:i/>
          <w:iCs/>
        </w:rPr>
        <w:t>Г</w:t>
      </w:r>
      <w:r w:rsidRPr="00BF54E9">
        <w:rPr>
          <w:i/>
          <w:iCs/>
        </w:rPr>
        <w:t>.</w:t>
      </w:r>
    </w:p>
    <w:p w:rsidR="00EA1D25" w:rsidRPr="00BF54E9" w:rsidRDefault="00EA1D25" w:rsidP="00BF54E9">
      <w:pPr>
        <w:pStyle w:val="11"/>
        <w:ind w:firstLine="567"/>
        <w:rPr>
          <w:i/>
          <w:iCs/>
        </w:rPr>
      </w:pPr>
      <w:r w:rsidRPr="00BF54E9">
        <w:rPr>
          <w:i/>
          <w:iCs/>
        </w:rPr>
        <w:t xml:space="preserve">Дата 17.11.2024 Підпис___________ </w:t>
      </w:r>
      <w:r w:rsidRPr="00506F46">
        <w:rPr>
          <w:i/>
          <w:iCs/>
        </w:rPr>
        <w:t>Бабміндра Д.І</w:t>
      </w:r>
      <w:r w:rsidRPr="00BF54E9">
        <w:rPr>
          <w:i/>
          <w:iCs/>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F46A3" w:rsidRDefault="007F46A3" w:rsidP="006E60E6">
      <w:pPr>
        <w:spacing w:after="0" w:line="240" w:lineRule="auto"/>
      </w:pPr>
      <w:r>
        <w:separator/>
      </w:r>
    </w:p>
  </w:footnote>
  <w:footnote w:type="continuationSeparator" w:id="0">
    <w:p w:rsidR="007F46A3" w:rsidRDefault="007F46A3" w:rsidP="006E6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3051793"/>
      <w:docPartObj>
        <w:docPartGallery w:val="Page Numbers (Top of Page)"/>
        <w:docPartUnique/>
      </w:docPartObj>
    </w:sdtPr>
    <w:sdtContent>
      <w:p w:rsidR="00EA1D25" w:rsidRDefault="00EA1D25">
        <w:pPr>
          <w:pStyle w:val="af"/>
          <w:jc w:val="right"/>
        </w:pPr>
        <w:r>
          <w:fldChar w:fldCharType="begin"/>
        </w:r>
        <w:r>
          <w:instrText>PAGE   \* MERGEFORMAT</w:instrText>
        </w:r>
        <w:r>
          <w:fldChar w:fldCharType="separate"/>
        </w:r>
        <w:r w:rsidRPr="007630D3">
          <w:rPr>
            <w:noProof/>
            <w:lang w:val="ru-RU"/>
          </w:rPr>
          <w:t>84</w:t>
        </w:r>
        <w:r>
          <w:fldChar w:fldCharType="end"/>
        </w:r>
      </w:p>
    </w:sdtContent>
  </w:sdt>
  <w:p w:rsidR="00EA1D25" w:rsidRDefault="00EA1D2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9027F"/>
    <w:multiLevelType w:val="multilevel"/>
    <w:tmpl w:val="BD8C5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66CA2"/>
    <w:multiLevelType w:val="multilevel"/>
    <w:tmpl w:val="90A45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AB7CB2"/>
    <w:multiLevelType w:val="multilevel"/>
    <w:tmpl w:val="03C4ED92"/>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439AD"/>
    <w:multiLevelType w:val="hybridMultilevel"/>
    <w:tmpl w:val="D78001A0"/>
    <w:lvl w:ilvl="0" w:tplc="F1E211BC">
      <w:start w:val="1"/>
      <w:numFmt w:val="bullet"/>
      <w:lvlText w:val="̶"/>
      <w:lvlJc w:val="left"/>
      <w:pPr>
        <w:ind w:left="1429" w:hanging="360"/>
      </w:pPr>
      <w:rPr>
        <w:rFonts w:ascii="Calibri" w:hAnsi="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F32790F"/>
    <w:multiLevelType w:val="hybridMultilevel"/>
    <w:tmpl w:val="F2D0C6A2"/>
    <w:lvl w:ilvl="0" w:tplc="F1E211BC">
      <w:start w:val="1"/>
      <w:numFmt w:val="bullet"/>
      <w:lvlText w:val="̶"/>
      <w:lvlJc w:val="left"/>
      <w:pPr>
        <w:ind w:left="1429" w:hanging="360"/>
      </w:pPr>
      <w:rPr>
        <w:rFonts w:ascii="Calibri" w:hAnsi="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1FDB4577"/>
    <w:multiLevelType w:val="multilevel"/>
    <w:tmpl w:val="A852027A"/>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10B15"/>
    <w:multiLevelType w:val="hybridMultilevel"/>
    <w:tmpl w:val="B34AD412"/>
    <w:lvl w:ilvl="0" w:tplc="62D2B2B8">
      <w:start w:val="1"/>
      <w:numFmt w:val="bullet"/>
      <w:lvlText w:val="•"/>
      <w:lvlJc w:val="left"/>
      <w:pPr>
        <w:tabs>
          <w:tab w:val="num" w:pos="720"/>
        </w:tabs>
        <w:ind w:left="720" w:hanging="360"/>
      </w:pPr>
      <w:rPr>
        <w:rFonts w:ascii="Times New Roman" w:hAnsi="Times New Roman" w:hint="default"/>
      </w:rPr>
    </w:lvl>
    <w:lvl w:ilvl="1" w:tplc="D9B807C8" w:tentative="1">
      <w:start w:val="1"/>
      <w:numFmt w:val="bullet"/>
      <w:lvlText w:val="•"/>
      <w:lvlJc w:val="left"/>
      <w:pPr>
        <w:tabs>
          <w:tab w:val="num" w:pos="1440"/>
        </w:tabs>
        <w:ind w:left="1440" w:hanging="360"/>
      </w:pPr>
      <w:rPr>
        <w:rFonts w:ascii="Times New Roman" w:hAnsi="Times New Roman" w:hint="default"/>
      </w:rPr>
    </w:lvl>
    <w:lvl w:ilvl="2" w:tplc="F454FF7A" w:tentative="1">
      <w:start w:val="1"/>
      <w:numFmt w:val="bullet"/>
      <w:lvlText w:val="•"/>
      <w:lvlJc w:val="left"/>
      <w:pPr>
        <w:tabs>
          <w:tab w:val="num" w:pos="2160"/>
        </w:tabs>
        <w:ind w:left="2160" w:hanging="360"/>
      </w:pPr>
      <w:rPr>
        <w:rFonts w:ascii="Times New Roman" w:hAnsi="Times New Roman" w:hint="default"/>
      </w:rPr>
    </w:lvl>
    <w:lvl w:ilvl="3" w:tplc="76BEEE72" w:tentative="1">
      <w:start w:val="1"/>
      <w:numFmt w:val="bullet"/>
      <w:lvlText w:val="•"/>
      <w:lvlJc w:val="left"/>
      <w:pPr>
        <w:tabs>
          <w:tab w:val="num" w:pos="2880"/>
        </w:tabs>
        <w:ind w:left="2880" w:hanging="360"/>
      </w:pPr>
      <w:rPr>
        <w:rFonts w:ascii="Times New Roman" w:hAnsi="Times New Roman" w:hint="default"/>
      </w:rPr>
    </w:lvl>
    <w:lvl w:ilvl="4" w:tplc="4DD205FA" w:tentative="1">
      <w:start w:val="1"/>
      <w:numFmt w:val="bullet"/>
      <w:lvlText w:val="•"/>
      <w:lvlJc w:val="left"/>
      <w:pPr>
        <w:tabs>
          <w:tab w:val="num" w:pos="3600"/>
        </w:tabs>
        <w:ind w:left="3600" w:hanging="360"/>
      </w:pPr>
      <w:rPr>
        <w:rFonts w:ascii="Times New Roman" w:hAnsi="Times New Roman" w:hint="default"/>
      </w:rPr>
    </w:lvl>
    <w:lvl w:ilvl="5" w:tplc="A1443F48" w:tentative="1">
      <w:start w:val="1"/>
      <w:numFmt w:val="bullet"/>
      <w:lvlText w:val="•"/>
      <w:lvlJc w:val="left"/>
      <w:pPr>
        <w:tabs>
          <w:tab w:val="num" w:pos="4320"/>
        </w:tabs>
        <w:ind w:left="4320" w:hanging="360"/>
      </w:pPr>
      <w:rPr>
        <w:rFonts w:ascii="Times New Roman" w:hAnsi="Times New Roman" w:hint="default"/>
      </w:rPr>
    </w:lvl>
    <w:lvl w:ilvl="6" w:tplc="1EE21B5C" w:tentative="1">
      <w:start w:val="1"/>
      <w:numFmt w:val="bullet"/>
      <w:lvlText w:val="•"/>
      <w:lvlJc w:val="left"/>
      <w:pPr>
        <w:tabs>
          <w:tab w:val="num" w:pos="5040"/>
        </w:tabs>
        <w:ind w:left="5040" w:hanging="360"/>
      </w:pPr>
      <w:rPr>
        <w:rFonts w:ascii="Times New Roman" w:hAnsi="Times New Roman" w:hint="default"/>
      </w:rPr>
    </w:lvl>
    <w:lvl w:ilvl="7" w:tplc="20AA6442" w:tentative="1">
      <w:start w:val="1"/>
      <w:numFmt w:val="bullet"/>
      <w:lvlText w:val="•"/>
      <w:lvlJc w:val="left"/>
      <w:pPr>
        <w:tabs>
          <w:tab w:val="num" w:pos="5760"/>
        </w:tabs>
        <w:ind w:left="5760" w:hanging="360"/>
      </w:pPr>
      <w:rPr>
        <w:rFonts w:ascii="Times New Roman" w:hAnsi="Times New Roman" w:hint="default"/>
      </w:rPr>
    </w:lvl>
    <w:lvl w:ilvl="8" w:tplc="AA9EF63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03103E9"/>
    <w:multiLevelType w:val="multilevel"/>
    <w:tmpl w:val="4782B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F01167"/>
    <w:multiLevelType w:val="hybridMultilevel"/>
    <w:tmpl w:val="8B1C3D18"/>
    <w:lvl w:ilvl="0" w:tplc="F1E211BC">
      <w:start w:val="1"/>
      <w:numFmt w:val="bullet"/>
      <w:lvlText w:val="̶"/>
      <w:lvlJc w:val="left"/>
      <w:pPr>
        <w:ind w:left="1429" w:hanging="360"/>
      </w:pPr>
      <w:rPr>
        <w:rFonts w:ascii="Calibri" w:hAnsi="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748F70B3"/>
    <w:multiLevelType w:val="hybridMultilevel"/>
    <w:tmpl w:val="CB10C81E"/>
    <w:lvl w:ilvl="0" w:tplc="F1E211BC">
      <w:start w:val="1"/>
      <w:numFmt w:val="bullet"/>
      <w:lvlText w:val="̶"/>
      <w:lvlJc w:val="left"/>
      <w:pPr>
        <w:ind w:left="1429" w:hanging="360"/>
      </w:pPr>
      <w:rPr>
        <w:rFonts w:ascii="Calibri" w:hAnsi="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6"/>
  </w:num>
  <w:num w:numId="2">
    <w:abstractNumId w:val="0"/>
  </w:num>
  <w:num w:numId="3">
    <w:abstractNumId w:val="3"/>
  </w:num>
  <w:num w:numId="4">
    <w:abstractNumId w:val="9"/>
  </w:num>
  <w:num w:numId="5">
    <w:abstractNumId w:val="8"/>
  </w:num>
  <w:num w:numId="6">
    <w:abstractNumId w:val="2"/>
  </w:num>
  <w:num w:numId="7">
    <w:abstractNumId w:val="5"/>
  </w:num>
  <w:num w:numId="8">
    <w:abstractNumId w:val="7"/>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D4F"/>
    <w:rsid w:val="000135D8"/>
    <w:rsid w:val="00014243"/>
    <w:rsid w:val="000463C7"/>
    <w:rsid w:val="00087803"/>
    <w:rsid w:val="000B2006"/>
    <w:rsid w:val="000C60E3"/>
    <w:rsid w:val="000E1DDB"/>
    <w:rsid w:val="000E24B6"/>
    <w:rsid w:val="000E714A"/>
    <w:rsid w:val="001055E8"/>
    <w:rsid w:val="00113A25"/>
    <w:rsid w:val="00157919"/>
    <w:rsid w:val="00167D52"/>
    <w:rsid w:val="001914AA"/>
    <w:rsid w:val="0019783B"/>
    <w:rsid w:val="001A3E33"/>
    <w:rsid w:val="001A51CC"/>
    <w:rsid w:val="001C3A9F"/>
    <w:rsid w:val="001D7D4C"/>
    <w:rsid w:val="001E2A9E"/>
    <w:rsid w:val="00247684"/>
    <w:rsid w:val="002653C0"/>
    <w:rsid w:val="0027682A"/>
    <w:rsid w:val="002C0986"/>
    <w:rsid w:val="002C1410"/>
    <w:rsid w:val="002F0FA8"/>
    <w:rsid w:val="002F2A47"/>
    <w:rsid w:val="003B3F38"/>
    <w:rsid w:val="00443DF8"/>
    <w:rsid w:val="00485B41"/>
    <w:rsid w:val="004A6FD0"/>
    <w:rsid w:val="004B649E"/>
    <w:rsid w:val="004D2CA6"/>
    <w:rsid w:val="004E34CB"/>
    <w:rsid w:val="004F307D"/>
    <w:rsid w:val="00506F46"/>
    <w:rsid w:val="00507738"/>
    <w:rsid w:val="0051099A"/>
    <w:rsid w:val="005135FD"/>
    <w:rsid w:val="0051471E"/>
    <w:rsid w:val="005316B6"/>
    <w:rsid w:val="00536BBA"/>
    <w:rsid w:val="00543F14"/>
    <w:rsid w:val="00561E82"/>
    <w:rsid w:val="00627637"/>
    <w:rsid w:val="006B773B"/>
    <w:rsid w:val="006E60E6"/>
    <w:rsid w:val="00717EA4"/>
    <w:rsid w:val="0076005D"/>
    <w:rsid w:val="007630D3"/>
    <w:rsid w:val="00776444"/>
    <w:rsid w:val="00777DE9"/>
    <w:rsid w:val="007E212C"/>
    <w:rsid w:val="007E5A95"/>
    <w:rsid w:val="007F46A3"/>
    <w:rsid w:val="00820585"/>
    <w:rsid w:val="0089368E"/>
    <w:rsid w:val="008B699B"/>
    <w:rsid w:val="008C4A74"/>
    <w:rsid w:val="008C5291"/>
    <w:rsid w:val="008E41ED"/>
    <w:rsid w:val="008F0289"/>
    <w:rsid w:val="008F1288"/>
    <w:rsid w:val="0090043E"/>
    <w:rsid w:val="00926BA7"/>
    <w:rsid w:val="00972C5A"/>
    <w:rsid w:val="009B059C"/>
    <w:rsid w:val="009C19BD"/>
    <w:rsid w:val="009C5EB5"/>
    <w:rsid w:val="009C721C"/>
    <w:rsid w:val="009C7616"/>
    <w:rsid w:val="009D5849"/>
    <w:rsid w:val="009E71E2"/>
    <w:rsid w:val="00A406DD"/>
    <w:rsid w:val="00A759F3"/>
    <w:rsid w:val="00AA0FB5"/>
    <w:rsid w:val="00AA19BF"/>
    <w:rsid w:val="00AD5D69"/>
    <w:rsid w:val="00B06721"/>
    <w:rsid w:val="00B12A69"/>
    <w:rsid w:val="00B46BCA"/>
    <w:rsid w:val="00B50B27"/>
    <w:rsid w:val="00B83912"/>
    <w:rsid w:val="00B875B9"/>
    <w:rsid w:val="00B96DEC"/>
    <w:rsid w:val="00BF1CF1"/>
    <w:rsid w:val="00BF54E9"/>
    <w:rsid w:val="00C37448"/>
    <w:rsid w:val="00C50B01"/>
    <w:rsid w:val="00C57730"/>
    <w:rsid w:val="00C90A73"/>
    <w:rsid w:val="00CB5104"/>
    <w:rsid w:val="00CF6997"/>
    <w:rsid w:val="00D259E2"/>
    <w:rsid w:val="00D36B1A"/>
    <w:rsid w:val="00D52075"/>
    <w:rsid w:val="00D6536B"/>
    <w:rsid w:val="00D845F9"/>
    <w:rsid w:val="00DA4678"/>
    <w:rsid w:val="00DC5D61"/>
    <w:rsid w:val="00E01EF5"/>
    <w:rsid w:val="00E05F2F"/>
    <w:rsid w:val="00E45D93"/>
    <w:rsid w:val="00E74D4F"/>
    <w:rsid w:val="00E81B5A"/>
    <w:rsid w:val="00EA1D25"/>
    <w:rsid w:val="00EE0FD5"/>
    <w:rsid w:val="00EE5F30"/>
    <w:rsid w:val="00F068F5"/>
    <w:rsid w:val="00F140E9"/>
    <w:rsid w:val="00F22A82"/>
    <w:rsid w:val="00F36563"/>
    <w:rsid w:val="00F60436"/>
    <w:rsid w:val="00FB6796"/>
    <w:rsid w:val="00FD7AC7"/>
    <w:rsid w:val="00FF1D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FBFED"/>
  <w15:chartTrackingRefBased/>
  <w15:docId w15:val="{A14E9F00-518A-43EA-A24A-E563D70C6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05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653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D653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6536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0585"/>
    <w:rPr>
      <w:rFonts w:asciiTheme="majorHAnsi" w:eastAsiaTheme="majorEastAsia" w:hAnsiTheme="majorHAnsi" w:cstheme="majorBidi"/>
      <w:color w:val="2E74B5" w:themeColor="accent1" w:themeShade="BF"/>
      <w:sz w:val="32"/>
      <w:szCs w:val="32"/>
    </w:rPr>
  </w:style>
  <w:style w:type="paragraph" w:styleId="a3">
    <w:name w:val="Normal (Web)"/>
    <w:basedOn w:val="a"/>
    <w:link w:val="a4"/>
    <w:uiPriority w:val="99"/>
    <w:unhideWhenUsed/>
    <w:rsid w:val="006B773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6B773B"/>
    <w:rPr>
      <w:b/>
      <w:bCs/>
    </w:rPr>
  </w:style>
  <w:style w:type="paragraph" w:customStyle="1" w:styleId="11">
    <w:name w:val="Стиль1"/>
    <w:basedOn w:val="a3"/>
    <w:link w:val="12"/>
    <w:qFormat/>
    <w:rsid w:val="009E71E2"/>
    <w:pPr>
      <w:spacing w:before="0" w:beforeAutospacing="0" w:after="0" w:afterAutospacing="0" w:line="360" w:lineRule="auto"/>
      <w:ind w:firstLine="709"/>
      <w:jc w:val="both"/>
    </w:pPr>
    <w:rPr>
      <w:sz w:val="28"/>
      <w:szCs w:val="28"/>
    </w:rPr>
  </w:style>
  <w:style w:type="paragraph" w:styleId="a6">
    <w:name w:val="footnote text"/>
    <w:basedOn w:val="a"/>
    <w:link w:val="a7"/>
    <w:uiPriority w:val="99"/>
    <w:unhideWhenUsed/>
    <w:rsid w:val="006E60E6"/>
    <w:pPr>
      <w:spacing w:after="0" w:line="240" w:lineRule="auto"/>
    </w:pPr>
    <w:rPr>
      <w:sz w:val="20"/>
      <w:szCs w:val="20"/>
    </w:rPr>
  </w:style>
  <w:style w:type="character" w:customStyle="1" w:styleId="a4">
    <w:name w:val="Обычный (Интернет) Знак"/>
    <w:basedOn w:val="a0"/>
    <w:link w:val="a3"/>
    <w:uiPriority w:val="99"/>
    <w:rsid w:val="009E71E2"/>
    <w:rPr>
      <w:rFonts w:ascii="Times New Roman" w:eastAsia="Times New Roman" w:hAnsi="Times New Roman" w:cs="Times New Roman"/>
      <w:sz w:val="24"/>
      <w:szCs w:val="24"/>
      <w:lang w:eastAsia="uk-UA"/>
    </w:rPr>
  </w:style>
  <w:style w:type="character" w:customStyle="1" w:styleId="12">
    <w:name w:val="Стиль1 Знак"/>
    <w:basedOn w:val="a4"/>
    <w:link w:val="11"/>
    <w:rsid w:val="009E71E2"/>
    <w:rPr>
      <w:rFonts w:ascii="Times New Roman" w:eastAsia="Times New Roman" w:hAnsi="Times New Roman" w:cs="Times New Roman"/>
      <w:sz w:val="28"/>
      <w:szCs w:val="28"/>
      <w:lang w:eastAsia="uk-UA"/>
    </w:rPr>
  </w:style>
  <w:style w:type="character" w:customStyle="1" w:styleId="a7">
    <w:name w:val="Текст сноски Знак"/>
    <w:basedOn w:val="a0"/>
    <w:link w:val="a6"/>
    <w:uiPriority w:val="99"/>
    <w:rsid w:val="006E60E6"/>
    <w:rPr>
      <w:sz w:val="20"/>
      <w:szCs w:val="20"/>
    </w:rPr>
  </w:style>
  <w:style w:type="character" w:styleId="a8">
    <w:name w:val="footnote reference"/>
    <w:basedOn w:val="a0"/>
    <w:uiPriority w:val="99"/>
    <w:semiHidden/>
    <w:unhideWhenUsed/>
    <w:rsid w:val="006E60E6"/>
    <w:rPr>
      <w:vertAlign w:val="superscript"/>
    </w:rPr>
  </w:style>
  <w:style w:type="character" w:styleId="a9">
    <w:name w:val="Emphasis"/>
    <w:basedOn w:val="a0"/>
    <w:uiPriority w:val="20"/>
    <w:qFormat/>
    <w:rsid w:val="00087803"/>
    <w:rPr>
      <w:i/>
      <w:iCs/>
    </w:rPr>
  </w:style>
  <w:style w:type="character" w:styleId="aa">
    <w:name w:val="Hyperlink"/>
    <w:basedOn w:val="a0"/>
    <w:uiPriority w:val="99"/>
    <w:unhideWhenUsed/>
    <w:rsid w:val="00DA4678"/>
    <w:rPr>
      <w:color w:val="0563C1" w:themeColor="hyperlink"/>
      <w:u w:val="single"/>
    </w:rPr>
  </w:style>
  <w:style w:type="paragraph" w:styleId="ab">
    <w:name w:val="endnote text"/>
    <w:basedOn w:val="a"/>
    <w:link w:val="ac"/>
    <w:uiPriority w:val="99"/>
    <w:semiHidden/>
    <w:unhideWhenUsed/>
    <w:rsid w:val="004E34CB"/>
    <w:pPr>
      <w:spacing w:after="0" w:line="240" w:lineRule="auto"/>
    </w:pPr>
    <w:rPr>
      <w:sz w:val="20"/>
      <w:szCs w:val="20"/>
    </w:rPr>
  </w:style>
  <w:style w:type="character" w:customStyle="1" w:styleId="ac">
    <w:name w:val="Текст концевой сноски Знак"/>
    <w:basedOn w:val="a0"/>
    <w:link w:val="ab"/>
    <w:uiPriority w:val="99"/>
    <w:semiHidden/>
    <w:rsid w:val="004E34CB"/>
    <w:rPr>
      <w:sz w:val="20"/>
      <w:szCs w:val="20"/>
    </w:rPr>
  </w:style>
  <w:style w:type="character" w:styleId="ad">
    <w:name w:val="endnote reference"/>
    <w:basedOn w:val="a0"/>
    <w:uiPriority w:val="99"/>
    <w:semiHidden/>
    <w:unhideWhenUsed/>
    <w:rsid w:val="004E34CB"/>
    <w:rPr>
      <w:vertAlign w:val="superscript"/>
    </w:rPr>
  </w:style>
  <w:style w:type="paragraph" w:styleId="ae">
    <w:name w:val="TOC Heading"/>
    <w:basedOn w:val="1"/>
    <w:next w:val="a"/>
    <w:uiPriority w:val="39"/>
    <w:unhideWhenUsed/>
    <w:qFormat/>
    <w:rsid w:val="000C60E3"/>
    <w:pPr>
      <w:outlineLvl w:val="9"/>
    </w:pPr>
    <w:rPr>
      <w:lang w:eastAsia="uk-UA"/>
    </w:rPr>
  </w:style>
  <w:style w:type="paragraph" w:styleId="13">
    <w:name w:val="toc 1"/>
    <w:basedOn w:val="a"/>
    <w:next w:val="a"/>
    <w:autoRedefine/>
    <w:uiPriority w:val="39"/>
    <w:unhideWhenUsed/>
    <w:rsid w:val="000C60E3"/>
    <w:pPr>
      <w:spacing w:after="100"/>
    </w:pPr>
  </w:style>
  <w:style w:type="paragraph" w:styleId="af">
    <w:name w:val="header"/>
    <w:basedOn w:val="a"/>
    <w:link w:val="af0"/>
    <w:uiPriority w:val="99"/>
    <w:unhideWhenUsed/>
    <w:rsid w:val="000C60E3"/>
    <w:pPr>
      <w:tabs>
        <w:tab w:val="center" w:pos="4819"/>
        <w:tab w:val="right" w:pos="9639"/>
      </w:tabs>
      <w:spacing w:after="0" w:line="240" w:lineRule="auto"/>
    </w:pPr>
  </w:style>
  <w:style w:type="character" w:customStyle="1" w:styleId="af0">
    <w:name w:val="Верхний колонтитул Знак"/>
    <w:basedOn w:val="a0"/>
    <w:link w:val="af"/>
    <w:uiPriority w:val="99"/>
    <w:rsid w:val="000C60E3"/>
  </w:style>
  <w:style w:type="paragraph" w:styleId="af1">
    <w:name w:val="footer"/>
    <w:basedOn w:val="a"/>
    <w:link w:val="af2"/>
    <w:uiPriority w:val="99"/>
    <w:unhideWhenUsed/>
    <w:rsid w:val="000C60E3"/>
    <w:pPr>
      <w:tabs>
        <w:tab w:val="center" w:pos="4819"/>
        <w:tab w:val="right" w:pos="9639"/>
      </w:tabs>
      <w:spacing w:after="0" w:line="240" w:lineRule="auto"/>
    </w:pPr>
  </w:style>
  <w:style w:type="character" w:customStyle="1" w:styleId="af2">
    <w:name w:val="Нижний колонтитул Знак"/>
    <w:basedOn w:val="a0"/>
    <w:link w:val="af1"/>
    <w:uiPriority w:val="99"/>
    <w:rsid w:val="000C60E3"/>
  </w:style>
  <w:style w:type="paragraph" w:styleId="af3">
    <w:name w:val="No Spacing"/>
    <w:uiPriority w:val="1"/>
    <w:qFormat/>
    <w:rsid w:val="001914AA"/>
    <w:pPr>
      <w:spacing w:after="0" w:line="240" w:lineRule="auto"/>
    </w:pPr>
  </w:style>
  <w:style w:type="paragraph" w:customStyle="1" w:styleId="text-align-justify">
    <w:name w:val="text-align-justify"/>
    <w:basedOn w:val="a"/>
    <w:rsid w:val="00485B4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B46BCA"/>
  </w:style>
  <w:style w:type="character" w:customStyle="1" w:styleId="rvts44">
    <w:name w:val="rvts44"/>
    <w:basedOn w:val="a0"/>
    <w:rsid w:val="00B46BCA"/>
  </w:style>
  <w:style w:type="character" w:customStyle="1" w:styleId="20">
    <w:name w:val="Заголовок 2 Знак"/>
    <w:basedOn w:val="a0"/>
    <w:link w:val="2"/>
    <w:uiPriority w:val="9"/>
    <w:semiHidden/>
    <w:rsid w:val="00D6536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D6536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D6536B"/>
    <w:rPr>
      <w:rFonts w:asciiTheme="majorHAnsi" w:eastAsiaTheme="majorEastAsia" w:hAnsiTheme="majorHAnsi" w:cstheme="majorBidi"/>
      <w:i/>
      <w:iCs/>
      <w:color w:val="2E74B5" w:themeColor="accent1" w:themeShade="BF"/>
    </w:rPr>
  </w:style>
  <w:style w:type="character" w:styleId="af4">
    <w:name w:val="Unresolved Mention"/>
    <w:basedOn w:val="a0"/>
    <w:uiPriority w:val="99"/>
    <w:semiHidden/>
    <w:unhideWhenUsed/>
    <w:rsid w:val="00506F46"/>
    <w:rPr>
      <w:color w:val="605E5C"/>
      <w:shd w:val="clear" w:color="auto" w:fill="E1DFDD"/>
    </w:rPr>
  </w:style>
  <w:style w:type="paragraph" w:styleId="21">
    <w:name w:val="toc 2"/>
    <w:basedOn w:val="a"/>
    <w:next w:val="a"/>
    <w:autoRedefine/>
    <w:uiPriority w:val="39"/>
    <w:unhideWhenUsed/>
    <w:rsid w:val="00C37448"/>
    <w:pPr>
      <w:spacing w:after="100"/>
      <w:ind w:left="220"/>
    </w:pPr>
  </w:style>
  <w:style w:type="paragraph" w:styleId="31">
    <w:name w:val="toc 3"/>
    <w:basedOn w:val="a"/>
    <w:next w:val="a"/>
    <w:autoRedefine/>
    <w:uiPriority w:val="39"/>
    <w:unhideWhenUsed/>
    <w:rsid w:val="00C3744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07134">
      <w:bodyDiv w:val="1"/>
      <w:marLeft w:val="0"/>
      <w:marRight w:val="0"/>
      <w:marTop w:val="0"/>
      <w:marBottom w:val="0"/>
      <w:divBdr>
        <w:top w:val="none" w:sz="0" w:space="0" w:color="auto"/>
        <w:left w:val="none" w:sz="0" w:space="0" w:color="auto"/>
        <w:bottom w:val="none" w:sz="0" w:space="0" w:color="auto"/>
        <w:right w:val="none" w:sz="0" w:space="0" w:color="auto"/>
      </w:divBdr>
    </w:div>
    <w:div w:id="39089968">
      <w:bodyDiv w:val="1"/>
      <w:marLeft w:val="0"/>
      <w:marRight w:val="0"/>
      <w:marTop w:val="0"/>
      <w:marBottom w:val="0"/>
      <w:divBdr>
        <w:top w:val="none" w:sz="0" w:space="0" w:color="auto"/>
        <w:left w:val="none" w:sz="0" w:space="0" w:color="auto"/>
        <w:bottom w:val="none" w:sz="0" w:space="0" w:color="auto"/>
        <w:right w:val="none" w:sz="0" w:space="0" w:color="auto"/>
      </w:divBdr>
    </w:div>
    <w:div w:id="69736376">
      <w:bodyDiv w:val="1"/>
      <w:marLeft w:val="0"/>
      <w:marRight w:val="0"/>
      <w:marTop w:val="0"/>
      <w:marBottom w:val="0"/>
      <w:divBdr>
        <w:top w:val="none" w:sz="0" w:space="0" w:color="auto"/>
        <w:left w:val="none" w:sz="0" w:space="0" w:color="auto"/>
        <w:bottom w:val="none" w:sz="0" w:space="0" w:color="auto"/>
        <w:right w:val="none" w:sz="0" w:space="0" w:color="auto"/>
      </w:divBdr>
    </w:div>
    <w:div w:id="171921189">
      <w:bodyDiv w:val="1"/>
      <w:marLeft w:val="0"/>
      <w:marRight w:val="0"/>
      <w:marTop w:val="0"/>
      <w:marBottom w:val="0"/>
      <w:divBdr>
        <w:top w:val="none" w:sz="0" w:space="0" w:color="auto"/>
        <w:left w:val="none" w:sz="0" w:space="0" w:color="auto"/>
        <w:bottom w:val="none" w:sz="0" w:space="0" w:color="auto"/>
        <w:right w:val="none" w:sz="0" w:space="0" w:color="auto"/>
      </w:divBdr>
    </w:div>
    <w:div w:id="256257728">
      <w:bodyDiv w:val="1"/>
      <w:marLeft w:val="0"/>
      <w:marRight w:val="0"/>
      <w:marTop w:val="0"/>
      <w:marBottom w:val="0"/>
      <w:divBdr>
        <w:top w:val="none" w:sz="0" w:space="0" w:color="auto"/>
        <w:left w:val="none" w:sz="0" w:space="0" w:color="auto"/>
        <w:bottom w:val="none" w:sz="0" w:space="0" w:color="auto"/>
        <w:right w:val="none" w:sz="0" w:space="0" w:color="auto"/>
      </w:divBdr>
    </w:div>
    <w:div w:id="316611704">
      <w:bodyDiv w:val="1"/>
      <w:marLeft w:val="0"/>
      <w:marRight w:val="0"/>
      <w:marTop w:val="0"/>
      <w:marBottom w:val="0"/>
      <w:divBdr>
        <w:top w:val="none" w:sz="0" w:space="0" w:color="auto"/>
        <w:left w:val="none" w:sz="0" w:space="0" w:color="auto"/>
        <w:bottom w:val="none" w:sz="0" w:space="0" w:color="auto"/>
        <w:right w:val="none" w:sz="0" w:space="0" w:color="auto"/>
      </w:divBdr>
    </w:div>
    <w:div w:id="455684166">
      <w:bodyDiv w:val="1"/>
      <w:marLeft w:val="0"/>
      <w:marRight w:val="0"/>
      <w:marTop w:val="0"/>
      <w:marBottom w:val="0"/>
      <w:divBdr>
        <w:top w:val="none" w:sz="0" w:space="0" w:color="auto"/>
        <w:left w:val="none" w:sz="0" w:space="0" w:color="auto"/>
        <w:bottom w:val="none" w:sz="0" w:space="0" w:color="auto"/>
        <w:right w:val="none" w:sz="0" w:space="0" w:color="auto"/>
      </w:divBdr>
    </w:div>
    <w:div w:id="469590524">
      <w:bodyDiv w:val="1"/>
      <w:marLeft w:val="0"/>
      <w:marRight w:val="0"/>
      <w:marTop w:val="0"/>
      <w:marBottom w:val="0"/>
      <w:divBdr>
        <w:top w:val="none" w:sz="0" w:space="0" w:color="auto"/>
        <w:left w:val="none" w:sz="0" w:space="0" w:color="auto"/>
        <w:bottom w:val="none" w:sz="0" w:space="0" w:color="auto"/>
        <w:right w:val="none" w:sz="0" w:space="0" w:color="auto"/>
      </w:divBdr>
    </w:div>
    <w:div w:id="509178341">
      <w:bodyDiv w:val="1"/>
      <w:marLeft w:val="0"/>
      <w:marRight w:val="0"/>
      <w:marTop w:val="0"/>
      <w:marBottom w:val="0"/>
      <w:divBdr>
        <w:top w:val="none" w:sz="0" w:space="0" w:color="auto"/>
        <w:left w:val="none" w:sz="0" w:space="0" w:color="auto"/>
        <w:bottom w:val="none" w:sz="0" w:space="0" w:color="auto"/>
        <w:right w:val="none" w:sz="0" w:space="0" w:color="auto"/>
      </w:divBdr>
    </w:div>
    <w:div w:id="600529339">
      <w:bodyDiv w:val="1"/>
      <w:marLeft w:val="0"/>
      <w:marRight w:val="0"/>
      <w:marTop w:val="0"/>
      <w:marBottom w:val="0"/>
      <w:divBdr>
        <w:top w:val="none" w:sz="0" w:space="0" w:color="auto"/>
        <w:left w:val="none" w:sz="0" w:space="0" w:color="auto"/>
        <w:bottom w:val="none" w:sz="0" w:space="0" w:color="auto"/>
        <w:right w:val="none" w:sz="0" w:space="0" w:color="auto"/>
      </w:divBdr>
    </w:div>
    <w:div w:id="631399193">
      <w:bodyDiv w:val="1"/>
      <w:marLeft w:val="0"/>
      <w:marRight w:val="0"/>
      <w:marTop w:val="0"/>
      <w:marBottom w:val="0"/>
      <w:divBdr>
        <w:top w:val="none" w:sz="0" w:space="0" w:color="auto"/>
        <w:left w:val="none" w:sz="0" w:space="0" w:color="auto"/>
        <w:bottom w:val="none" w:sz="0" w:space="0" w:color="auto"/>
        <w:right w:val="none" w:sz="0" w:space="0" w:color="auto"/>
      </w:divBdr>
    </w:div>
    <w:div w:id="672731627">
      <w:bodyDiv w:val="1"/>
      <w:marLeft w:val="0"/>
      <w:marRight w:val="0"/>
      <w:marTop w:val="0"/>
      <w:marBottom w:val="0"/>
      <w:divBdr>
        <w:top w:val="none" w:sz="0" w:space="0" w:color="auto"/>
        <w:left w:val="none" w:sz="0" w:space="0" w:color="auto"/>
        <w:bottom w:val="none" w:sz="0" w:space="0" w:color="auto"/>
        <w:right w:val="none" w:sz="0" w:space="0" w:color="auto"/>
      </w:divBdr>
    </w:div>
    <w:div w:id="838933637">
      <w:bodyDiv w:val="1"/>
      <w:marLeft w:val="0"/>
      <w:marRight w:val="0"/>
      <w:marTop w:val="0"/>
      <w:marBottom w:val="0"/>
      <w:divBdr>
        <w:top w:val="none" w:sz="0" w:space="0" w:color="auto"/>
        <w:left w:val="none" w:sz="0" w:space="0" w:color="auto"/>
        <w:bottom w:val="none" w:sz="0" w:space="0" w:color="auto"/>
        <w:right w:val="none" w:sz="0" w:space="0" w:color="auto"/>
      </w:divBdr>
    </w:div>
    <w:div w:id="938490005">
      <w:bodyDiv w:val="1"/>
      <w:marLeft w:val="0"/>
      <w:marRight w:val="0"/>
      <w:marTop w:val="0"/>
      <w:marBottom w:val="0"/>
      <w:divBdr>
        <w:top w:val="none" w:sz="0" w:space="0" w:color="auto"/>
        <w:left w:val="none" w:sz="0" w:space="0" w:color="auto"/>
        <w:bottom w:val="none" w:sz="0" w:space="0" w:color="auto"/>
        <w:right w:val="none" w:sz="0" w:space="0" w:color="auto"/>
      </w:divBdr>
    </w:div>
    <w:div w:id="982999356">
      <w:bodyDiv w:val="1"/>
      <w:marLeft w:val="0"/>
      <w:marRight w:val="0"/>
      <w:marTop w:val="0"/>
      <w:marBottom w:val="0"/>
      <w:divBdr>
        <w:top w:val="none" w:sz="0" w:space="0" w:color="auto"/>
        <w:left w:val="none" w:sz="0" w:space="0" w:color="auto"/>
        <w:bottom w:val="none" w:sz="0" w:space="0" w:color="auto"/>
        <w:right w:val="none" w:sz="0" w:space="0" w:color="auto"/>
      </w:divBdr>
    </w:div>
    <w:div w:id="1050805969">
      <w:bodyDiv w:val="1"/>
      <w:marLeft w:val="0"/>
      <w:marRight w:val="0"/>
      <w:marTop w:val="0"/>
      <w:marBottom w:val="0"/>
      <w:divBdr>
        <w:top w:val="none" w:sz="0" w:space="0" w:color="auto"/>
        <w:left w:val="none" w:sz="0" w:space="0" w:color="auto"/>
        <w:bottom w:val="none" w:sz="0" w:space="0" w:color="auto"/>
        <w:right w:val="none" w:sz="0" w:space="0" w:color="auto"/>
      </w:divBdr>
    </w:div>
    <w:div w:id="1076246620">
      <w:bodyDiv w:val="1"/>
      <w:marLeft w:val="0"/>
      <w:marRight w:val="0"/>
      <w:marTop w:val="0"/>
      <w:marBottom w:val="0"/>
      <w:divBdr>
        <w:top w:val="none" w:sz="0" w:space="0" w:color="auto"/>
        <w:left w:val="none" w:sz="0" w:space="0" w:color="auto"/>
        <w:bottom w:val="none" w:sz="0" w:space="0" w:color="auto"/>
        <w:right w:val="none" w:sz="0" w:space="0" w:color="auto"/>
      </w:divBdr>
    </w:div>
    <w:div w:id="1128355227">
      <w:bodyDiv w:val="1"/>
      <w:marLeft w:val="0"/>
      <w:marRight w:val="0"/>
      <w:marTop w:val="0"/>
      <w:marBottom w:val="0"/>
      <w:divBdr>
        <w:top w:val="none" w:sz="0" w:space="0" w:color="auto"/>
        <w:left w:val="none" w:sz="0" w:space="0" w:color="auto"/>
        <w:bottom w:val="none" w:sz="0" w:space="0" w:color="auto"/>
        <w:right w:val="none" w:sz="0" w:space="0" w:color="auto"/>
      </w:divBdr>
    </w:div>
    <w:div w:id="1133912295">
      <w:bodyDiv w:val="1"/>
      <w:marLeft w:val="0"/>
      <w:marRight w:val="0"/>
      <w:marTop w:val="0"/>
      <w:marBottom w:val="0"/>
      <w:divBdr>
        <w:top w:val="none" w:sz="0" w:space="0" w:color="auto"/>
        <w:left w:val="none" w:sz="0" w:space="0" w:color="auto"/>
        <w:bottom w:val="none" w:sz="0" w:space="0" w:color="auto"/>
        <w:right w:val="none" w:sz="0" w:space="0" w:color="auto"/>
      </w:divBdr>
    </w:div>
    <w:div w:id="1143960438">
      <w:bodyDiv w:val="1"/>
      <w:marLeft w:val="0"/>
      <w:marRight w:val="0"/>
      <w:marTop w:val="0"/>
      <w:marBottom w:val="0"/>
      <w:divBdr>
        <w:top w:val="none" w:sz="0" w:space="0" w:color="auto"/>
        <w:left w:val="none" w:sz="0" w:space="0" w:color="auto"/>
        <w:bottom w:val="none" w:sz="0" w:space="0" w:color="auto"/>
        <w:right w:val="none" w:sz="0" w:space="0" w:color="auto"/>
      </w:divBdr>
    </w:div>
    <w:div w:id="1260529862">
      <w:bodyDiv w:val="1"/>
      <w:marLeft w:val="0"/>
      <w:marRight w:val="0"/>
      <w:marTop w:val="0"/>
      <w:marBottom w:val="0"/>
      <w:divBdr>
        <w:top w:val="none" w:sz="0" w:space="0" w:color="auto"/>
        <w:left w:val="none" w:sz="0" w:space="0" w:color="auto"/>
        <w:bottom w:val="none" w:sz="0" w:space="0" w:color="auto"/>
        <w:right w:val="none" w:sz="0" w:space="0" w:color="auto"/>
      </w:divBdr>
    </w:div>
    <w:div w:id="1286154085">
      <w:bodyDiv w:val="1"/>
      <w:marLeft w:val="0"/>
      <w:marRight w:val="0"/>
      <w:marTop w:val="0"/>
      <w:marBottom w:val="0"/>
      <w:divBdr>
        <w:top w:val="none" w:sz="0" w:space="0" w:color="auto"/>
        <w:left w:val="none" w:sz="0" w:space="0" w:color="auto"/>
        <w:bottom w:val="none" w:sz="0" w:space="0" w:color="auto"/>
        <w:right w:val="none" w:sz="0" w:space="0" w:color="auto"/>
      </w:divBdr>
    </w:div>
    <w:div w:id="1365598577">
      <w:bodyDiv w:val="1"/>
      <w:marLeft w:val="0"/>
      <w:marRight w:val="0"/>
      <w:marTop w:val="0"/>
      <w:marBottom w:val="0"/>
      <w:divBdr>
        <w:top w:val="none" w:sz="0" w:space="0" w:color="auto"/>
        <w:left w:val="none" w:sz="0" w:space="0" w:color="auto"/>
        <w:bottom w:val="none" w:sz="0" w:space="0" w:color="auto"/>
        <w:right w:val="none" w:sz="0" w:space="0" w:color="auto"/>
      </w:divBdr>
    </w:div>
    <w:div w:id="1409499280">
      <w:bodyDiv w:val="1"/>
      <w:marLeft w:val="0"/>
      <w:marRight w:val="0"/>
      <w:marTop w:val="0"/>
      <w:marBottom w:val="0"/>
      <w:divBdr>
        <w:top w:val="none" w:sz="0" w:space="0" w:color="auto"/>
        <w:left w:val="none" w:sz="0" w:space="0" w:color="auto"/>
        <w:bottom w:val="none" w:sz="0" w:space="0" w:color="auto"/>
        <w:right w:val="none" w:sz="0" w:space="0" w:color="auto"/>
      </w:divBdr>
    </w:div>
    <w:div w:id="1464348725">
      <w:bodyDiv w:val="1"/>
      <w:marLeft w:val="0"/>
      <w:marRight w:val="0"/>
      <w:marTop w:val="0"/>
      <w:marBottom w:val="0"/>
      <w:divBdr>
        <w:top w:val="none" w:sz="0" w:space="0" w:color="auto"/>
        <w:left w:val="none" w:sz="0" w:space="0" w:color="auto"/>
        <w:bottom w:val="none" w:sz="0" w:space="0" w:color="auto"/>
        <w:right w:val="none" w:sz="0" w:space="0" w:color="auto"/>
      </w:divBdr>
    </w:div>
    <w:div w:id="1465350472">
      <w:bodyDiv w:val="1"/>
      <w:marLeft w:val="0"/>
      <w:marRight w:val="0"/>
      <w:marTop w:val="0"/>
      <w:marBottom w:val="0"/>
      <w:divBdr>
        <w:top w:val="none" w:sz="0" w:space="0" w:color="auto"/>
        <w:left w:val="none" w:sz="0" w:space="0" w:color="auto"/>
        <w:bottom w:val="none" w:sz="0" w:space="0" w:color="auto"/>
        <w:right w:val="none" w:sz="0" w:space="0" w:color="auto"/>
      </w:divBdr>
    </w:div>
    <w:div w:id="1538547144">
      <w:bodyDiv w:val="1"/>
      <w:marLeft w:val="0"/>
      <w:marRight w:val="0"/>
      <w:marTop w:val="0"/>
      <w:marBottom w:val="0"/>
      <w:divBdr>
        <w:top w:val="none" w:sz="0" w:space="0" w:color="auto"/>
        <w:left w:val="none" w:sz="0" w:space="0" w:color="auto"/>
        <w:bottom w:val="none" w:sz="0" w:space="0" w:color="auto"/>
        <w:right w:val="none" w:sz="0" w:space="0" w:color="auto"/>
      </w:divBdr>
    </w:div>
    <w:div w:id="1575554372">
      <w:bodyDiv w:val="1"/>
      <w:marLeft w:val="0"/>
      <w:marRight w:val="0"/>
      <w:marTop w:val="0"/>
      <w:marBottom w:val="0"/>
      <w:divBdr>
        <w:top w:val="none" w:sz="0" w:space="0" w:color="auto"/>
        <w:left w:val="none" w:sz="0" w:space="0" w:color="auto"/>
        <w:bottom w:val="none" w:sz="0" w:space="0" w:color="auto"/>
        <w:right w:val="none" w:sz="0" w:space="0" w:color="auto"/>
      </w:divBdr>
    </w:div>
    <w:div w:id="1717512508">
      <w:bodyDiv w:val="1"/>
      <w:marLeft w:val="0"/>
      <w:marRight w:val="0"/>
      <w:marTop w:val="0"/>
      <w:marBottom w:val="0"/>
      <w:divBdr>
        <w:top w:val="none" w:sz="0" w:space="0" w:color="auto"/>
        <w:left w:val="none" w:sz="0" w:space="0" w:color="auto"/>
        <w:bottom w:val="none" w:sz="0" w:space="0" w:color="auto"/>
        <w:right w:val="none" w:sz="0" w:space="0" w:color="auto"/>
      </w:divBdr>
    </w:div>
    <w:div w:id="1778865859">
      <w:bodyDiv w:val="1"/>
      <w:marLeft w:val="0"/>
      <w:marRight w:val="0"/>
      <w:marTop w:val="0"/>
      <w:marBottom w:val="0"/>
      <w:divBdr>
        <w:top w:val="none" w:sz="0" w:space="0" w:color="auto"/>
        <w:left w:val="none" w:sz="0" w:space="0" w:color="auto"/>
        <w:bottom w:val="none" w:sz="0" w:space="0" w:color="auto"/>
        <w:right w:val="none" w:sz="0" w:space="0" w:color="auto"/>
      </w:divBdr>
    </w:div>
    <w:div w:id="1855071691">
      <w:bodyDiv w:val="1"/>
      <w:marLeft w:val="0"/>
      <w:marRight w:val="0"/>
      <w:marTop w:val="0"/>
      <w:marBottom w:val="0"/>
      <w:divBdr>
        <w:top w:val="none" w:sz="0" w:space="0" w:color="auto"/>
        <w:left w:val="none" w:sz="0" w:space="0" w:color="auto"/>
        <w:bottom w:val="none" w:sz="0" w:space="0" w:color="auto"/>
        <w:right w:val="none" w:sz="0" w:space="0" w:color="auto"/>
      </w:divBdr>
    </w:div>
    <w:div w:id="1933470915">
      <w:bodyDiv w:val="1"/>
      <w:marLeft w:val="0"/>
      <w:marRight w:val="0"/>
      <w:marTop w:val="0"/>
      <w:marBottom w:val="0"/>
      <w:divBdr>
        <w:top w:val="none" w:sz="0" w:space="0" w:color="auto"/>
        <w:left w:val="none" w:sz="0" w:space="0" w:color="auto"/>
        <w:bottom w:val="none" w:sz="0" w:space="0" w:color="auto"/>
        <w:right w:val="none" w:sz="0" w:space="0" w:color="auto"/>
      </w:divBdr>
    </w:div>
    <w:div w:id="2101028134">
      <w:bodyDiv w:val="1"/>
      <w:marLeft w:val="0"/>
      <w:marRight w:val="0"/>
      <w:marTop w:val="0"/>
      <w:marBottom w:val="0"/>
      <w:divBdr>
        <w:top w:val="none" w:sz="0" w:space="0" w:color="auto"/>
        <w:left w:val="none" w:sz="0" w:space="0" w:color="auto"/>
        <w:bottom w:val="none" w:sz="0" w:space="0" w:color="auto"/>
        <w:right w:val="none" w:sz="0" w:space="0" w:color="auto"/>
      </w:divBdr>
      <w:divsChild>
        <w:div w:id="1978799569">
          <w:marLeft w:val="547"/>
          <w:marRight w:val="0"/>
          <w:marTop w:val="0"/>
          <w:marBottom w:val="0"/>
          <w:divBdr>
            <w:top w:val="none" w:sz="0" w:space="0" w:color="auto"/>
            <w:left w:val="none" w:sz="0" w:space="0" w:color="auto"/>
            <w:bottom w:val="none" w:sz="0" w:space="0" w:color="auto"/>
            <w:right w:val="none" w:sz="0" w:space="0" w:color="auto"/>
          </w:divBdr>
        </w:div>
      </w:divsChild>
    </w:div>
    <w:div w:id="213628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diagramColors" Target="diagrams/colors3.xml"/><Relationship Id="rId34" Type="http://schemas.openxmlformats.org/officeDocument/2006/relationships/chart" Target="charts/chart8.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3.xml"/><Relationship Id="rId33" Type="http://schemas.openxmlformats.org/officeDocument/2006/relationships/chart" Target="charts/chart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2.xml"/><Relationship Id="rId32" Type="http://schemas.openxmlformats.org/officeDocument/2006/relationships/chart" Target="charts/chart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chart" Target="charts/chart1.xml"/><Relationship Id="rId28" Type="http://schemas.microsoft.com/office/2007/relationships/hdphoto" Target="media/hdphoto1.wdp"/><Relationship Id="rId36"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image" Target="media/image1.png"/><Relationship Id="rId30" Type="http://schemas.microsoft.com/office/2007/relationships/hdphoto" Target="media/hdphoto2.wdp"/><Relationship Id="rId35" Type="http://schemas.openxmlformats.org/officeDocument/2006/relationships/chart" Target="charts/chart9.xml"/></Relationships>
</file>

<file path=word/_rels/endnotes.xml.rels><?xml version="1.0" encoding="UTF-8" standalone="yes"?>
<Relationships xmlns="http://schemas.openxmlformats.org/package/2006/relationships"><Relationship Id="rId8" Type="http://schemas.openxmlformats.org/officeDocument/2006/relationships/hyperlink" Target="https://www.work.ua/news/ukraine/2667" TargetMode="External"/><Relationship Id="rId13" Type="http://schemas.openxmlformats.org/officeDocument/2006/relationships/hyperlink" Target="https://kse.ua/wp-content/uploads/2024/03/Agroviglyad_2_ukr.pdf" TargetMode="External"/><Relationship Id="rId18" Type="http://schemas.openxmlformats.org/officeDocument/2006/relationships/hyperlink" Target="https://decentralization.ua/uploads/attachment/document/1298/%D0%90%D0%BD%D0%B0%D0%BB%D1%96%D1%82%D0%B8%D1%87%D0%BD%D0%B8%D0%B9_%D0%BE%D0%B3%D0%BB%D1%8F%D0%B4_%D1%81%D1%82%D0%B0%D0%BD%D1%83_%D0%B7%D0%B5%D0%BC%D0%B5%D0%BB%D1%8C%D0%BD%D0%BE%D0%B3%D0%BE_%D1%80%D0%B8%D0%BD%D0%BA%D1%83_%D0%B2_%D0%A3%D0%BA%D1%80%D0%B0%D1%97%D0%BD%D1%96_%D1%87%D0%B5%D1%80%D0%B2%D0%B5%D0%BD%D1%8C_2023.pdf" TargetMode="External"/><Relationship Id="rId3" Type="http://schemas.openxmlformats.org/officeDocument/2006/relationships/hyperlink" Target="file:///C:/Users/User/Desktop/zemelna-renta-yak-ekonomichna-kategoriya-retrospektivai-suchasni-poglyadi.pdf" TargetMode="External"/><Relationship Id="rId7" Type="http://schemas.openxmlformats.org/officeDocument/2006/relationships/hyperlink" Target="https://bank.gov.ua/admin_uploads/article/IR_2024-Q2.pdf" TargetMode="External"/><Relationship Id="rId12" Type="http://schemas.openxmlformats.org/officeDocument/2006/relationships/hyperlink" Target="https://kse.ua/wp-content/uploads/2024/03/Agroviglyad_2_ukr.pdf" TargetMode="External"/><Relationship Id="rId17" Type="http://schemas.openxmlformats.org/officeDocument/2006/relationships/hyperlink" Target="https://zakon.rada.gov.ua/laws/show/3272-20" TargetMode="External"/><Relationship Id="rId2" Type="http://schemas.openxmlformats.org/officeDocument/2006/relationships/hyperlink" Target="file:///C:/Users/User/Desktop/zemelna-renta-yak-ekonomichna-kategoriya-retrospektivai-suchasni-poglyadi.pdf" TargetMode="External"/><Relationship Id="rId16" Type="http://schemas.openxmlformats.org/officeDocument/2006/relationships/hyperlink" Target="https://zakon.rada.gov.ua/laws/show/3050-20" TargetMode="External"/><Relationship Id="rId20" Type="http://schemas.openxmlformats.org/officeDocument/2006/relationships/image" Target="media/image3.emf"/><Relationship Id="rId1" Type="http://schemas.openxmlformats.org/officeDocument/2006/relationships/hyperlink" Target="file:///C:/Users/User/Desktop/zemelna-renta-yak-ekonomichna-kategoriya-retrospektivai-suchasni-poglyadi.pdf" TargetMode="External"/><Relationship Id="rId6" Type="http://schemas.openxmlformats.org/officeDocument/2006/relationships/hyperlink" Target="https://moodle.znu.edu.ua/pluginfile.php/654037/mod_resource/content/1/lek_5s.pdf" TargetMode="External"/><Relationship Id="rId11" Type="http://schemas.openxmlformats.org/officeDocument/2006/relationships/hyperlink" Target="https://hdr.undp.org/system/files/documents/global-report-document/hdr2023-24reporten.pdf" TargetMode="External"/><Relationship Id="rId5" Type="http://schemas.openxmlformats.org/officeDocument/2006/relationships/hyperlink" Target="URL:http://www.economy.nayka.com.ua/?op=1&amp;z=6858" TargetMode="External"/><Relationship Id="rId15" Type="http://schemas.openxmlformats.org/officeDocument/2006/relationships/hyperlink" Target="https://zakon.rada.gov.ua/laws/show/2698-20" TargetMode="External"/><Relationship Id="rId10" Type="http://schemas.openxmlformats.org/officeDocument/2006/relationships/hyperlink" Target="https://dcz.gov.ua/stat/infograph" TargetMode="External"/><Relationship Id="rId19" Type="http://schemas.openxmlformats.org/officeDocument/2006/relationships/hyperlink" Target="mailto:bomikav@gmail.com" TargetMode="External"/><Relationship Id="rId4" Type="http://schemas.openxmlformats.org/officeDocument/2006/relationships/hyperlink" Target="file:///C:/Users/User/Desktop/zemelna-renta-yak-ekonomichna-kategoriya-retrospektivai-suchasni-poglyadi.pdf" TargetMode="External"/><Relationship Id="rId9" Type="http://schemas.openxmlformats.org/officeDocument/2006/relationships/hyperlink" Target="https://index.minfin.com.ua/ua/labour/unemploy/register/" TargetMode="External"/><Relationship Id="rId14" Type="http://schemas.openxmlformats.org/officeDocument/2006/relationships/hyperlink" Target="https://kse.ua/wp-content/uploads/2024/01/Land-Market-in-Ukraine-Q423.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42;&#1110;&#1076;&#1110;&#1083;&#1110;&#1085;&#1072;%20&#1040;&#1083;&#1100;&#1086;&#1085;&#1072;\Desktop\&#1088;&#1077;&#1085;&#1090;&#107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Downloads\ssr_20ue.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42;&#1110;&#1076;&#1110;&#1083;&#1110;&#1085;&#1072;%20&#1040;&#1083;&#1100;&#1086;&#1085;&#1072;\Desktop\&#1088;&#1077;&#1085;&#1090;&#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42;&#1110;&#1076;&#1110;&#1083;&#1110;&#1085;&#1072;%20&#1040;&#1083;&#1100;&#1086;&#1085;&#1072;\Desktop\&#1088;&#1077;&#1085;&#1090;&#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042;&#1110;&#1076;&#1110;&#1083;&#1110;&#1085;&#1072;%20&#1040;&#1083;&#1100;&#1086;&#1085;&#1072;\Desktop\&#1088;&#1077;&#1085;&#1090;&#107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1050;&#1085;&#1080;&#1075;&#1072;2"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1042;&#1110;&#1076;&#1110;&#1083;&#1110;&#1085;&#1072;%20&#1040;&#1083;&#1100;&#1086;&#1085;&#1072;\Desktop\&#1088;&#1077;&#1085;&#1090;&#1072;.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1042;&#1110;&#1076;&#1110;&#1083;&#1110;&#1085;&#1072;%20&#1040;&#1083;&#1100;&#1086;&#1085;&#1072;\Desktop\&#1088;&#1077;&#1085;&#1090;&#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046499308982"/>
          <c:y val="5.0925925925925923E-2"/>
          <c:w val="0.86542960582127537"/>
          <c:h val="0.87134136800994122"/>
        </c:manualLayout>
      </c:layout>
      <c:barChart>
        <c:barDir val="col"/>
        <c:grouping val="clustered"/>
        <c:varyColors val="0"/>
        <c:ser>
          <c:idx val="0"/>
          <c:order val="0"/>
          <c:tx>
            <c:strRef>
              <c:f>Лист1!$W$4</c:f>
              <c:strCache>
                <c:ptCount val="1"/>
                <c:pt idx="0">
                  <c:v>Рентна плата на 1 особу, грн.</c:v>
                </c:pt>
              </c:strCache>
            </c:strRef>
          </c:tx>
          <c:spPr>
            <a:solidFill>
              <a:schemeClr val="accent1"/>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Лист1!$D$5:$D$10</c:f>
              <c:numCache>
                <c:formatCode>General</c:formatCode>
                <c:ptCount val="6"/>
                <c:pt idx="0">
                  <c:v>2019</c:v>
                </c:pt>
                <c:pt idx="1">
                  <c:v>2020</c:v>
                </c:pt>
                <c:pt idx="2">
                  <c:v>2021</c:v>
                </c:pt>
                <c:pt idx="3">
                  <c:v>2022</c:v>
                </c:pt>
                <c:pt idx="4">
                  <c:v>2023</c:v>
                </c:pt>
                <c:pt idx="5" formatCode="mmm\-yy">
                  <c:v>45597</c:v>
                </c:pt>
              </c:numCache>
            </c:numRef>
          </c:cat>
          <c:val>
            <c:numRef>
              <c:f>Лист1!$W$5:$W$10</c:f>
              <c:numCache>
                <c:formatCode>0.00</c:formatCode>
                <c:ptCount val="6"/>
                <c:pt idx="0">
                  <c:v>1169.8875646503261</c:v>
                </c:pt>
                <c:pt idx="1">
                  <c:v>1291.8479981904545</c:v>
                </c:pt>
                <c:pt idx="2">
                  <c:v>2036.9099201824401</c:v>
                </c:pt>
                <c:pt idx="3">
                  <c:v>2476.4736842105262</c:v>
                </c:pt>
                <c:pt idx="4">
                  <c:v>1792.1621621621621</c:v>
                </c:pt>
                <c:pt idx="5">
                  <c:v>1367.4514285714286</c:v>
                </c:pt>
              </c:numCache>
            </c:numRef>
          </c:val>
          <c:extLst>
            <c:ext xmlns:c16="http://schemas.microsoft.com/office/drawing/2014/chart" uri="{C3380CC4-5D6E-409C-BE32-E72D297353CC}">
              <c16:uniqueId val="{00000000-0827-40B1-9147-CDCD1E3873FF}"/>
            </c:ext>
          </c:extLst>
        </c:ser>
        <c:ser>
          <c:idx val="1"/>
          <c:order val="1"/>
          <c:tx>
            <c:strRef>
              <c:f>Лист1!$X$4</c:f>
              <c:strCache>
                <c:ptCount val="1"/>
                <c:pt idx="0">
                  <c:v>Темп приросту, % </c:v>
                </c:pt>
              </c:strCache>
            </c:strRef>
          </c:tx>
          <c:spPr>
            <a:solidFill>
              <a:schemeClr val="accent2"/>
            </a:solidFill>
            <a:ln>
              <a:noFill/>
            </a:ln>
            <a:effectLst/>
          </c:spPr>
          <c:invertIfNegative val="0"/>
          <c:dLbls>
            <c:dLbl>
              <c:idx val="4"/>
              <c:layout>
                <c:manualLayout>
                  <c:x val="4.2762454564892027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827-40B1-9147-CDCD1E3873FF}"/>
                </c:ext>
              </c:extLst>
            </c:dLbl>
            <c:dLbl>
              <c:idx val="5"/>
              <c:layout>
                <c:manualLayout>
                  <c:x val="1.4966859097712209E-2"/>
                  <c:y val="-5.8641975308641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827-40B1-9147-CDCD1E3873F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Лист1!$D$5:$D$10</c:f>
              <c:numCache>
                <c:formatCode>General</c:formatCode>
                <c:ptCount val="6"/>
                <c:pt idx="0">
                  <c:v>2019</c:v>
                </c:pt>
                <c:pt idx="1">
                  <c:v>2020</c:v>
                </c:pt>
                <c:pt idx="2">
                  <c:v>2021</c:v>
                </c:pt>
                <c:pt idx="3">
                  <c:v>2022</c:v>
                </c:pt>
                <c:pt idx="4">
                  <c:v>2023</c:v>
                </c:pt>
                <c:pt idx="5" formatCode="mmm\-yy">
                  <c:v>45597</c:v>
                </c:pt>
              </c:numCache>
            </c:numRef>
          </c:cat>
          <c:val>
            <c:numRef>
              <c:f>Лист1!$X$5:$X$10</c:f>
              <c:numCache>
                <c:formatCode>0.00</c:formatCode>
                <c:ptCount val="6"/>
                <c:pt idx="1">
                  <c:v>10.424970503604072</c:v>
                </c:pt>
                <c:pt idx="2">
                  <c:v>57.674116694504676</c:v>
                </c:pt>
                <c:pt idx="3">
                  <c:v>21.579931428126955</c:v>
                </c:pt>
                <c:pt idx="4">
                  <c:v>-27.6324972242342</c:v>
                </c:pt>
                <c:pt idx="5">
                  <c:v>-23.698231251481133</c:v>
                </c:pt>
              </c:numCache>
            </c:numRef>
          </c:val>
          <c:extLst>
            <c:ext xmlns:c16="http://schemas.microsoft.com/office/drawing/2014/chart" uri="{C3380CC4-5D6E-409C-BE32-E72D297353CC}">
              <c16:uniqueId val="{00000001-0827-40B1-9147-CDCD1E3873FF}"/>
            </c:ext>
          </c:extLst>
        </c:ser>
        <c:dLbls>
          <c:showLegendKey val="0"/>
          <c:showVal val="0"/>
          <c:showCatName val="0"/>
          <c:showSerName val="0"/>
          <c:showPercent val="0"/>
          <c:showBubbleSize val="0"/>
        </c:dLbls>
        <c:gapWidth val="219"/>
        <c:overlap val="-27"/>
        <c:axId val="667614056"/>
        <c:axId val="667613072"/>
      </c:barChart>
      <c:catAx>
        <c:axId val="667614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3072"/>
        <c:crosses val="autoZero"/>
        <c:auto val="1"/>
        <c:lblAlgn val="ctr"/>
        <c:lblOffset val="100"/>
        <c:noMultiLvlLbl val="0"/>
      </c:catAx>
      <c:valAx>
        <c:axId val="66761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4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[ssr_20ue.xls]укр!$B$19</c:f>
              <c:strCache>
                <c:ptCount val="1"/>
                <c:pt idx="0">
                  <c:v>Питома вага доходів від ренти в структурі доходів домогосподарств</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[ssr_20ue.xls]укр!$C$18:$G$18</c:f>
              <c:strCache>
                <c:ptCount val="5"/>
                <c:pt idx="0">
                  <c:v>2019</c:v>
                </c:pt>
                <c:pt idx="1">
                  <c:v>2020</c:v>
                </c:pt>
                <c:pt idx="2">
                  <c:v>2021</c:v>
                </c:pt>
                <c:pt idx="3">
                  <c:v>2022</c:v>
                </c:pt>
                <c:pt idx="4">
                  <c:v>2023</c:v>
                </c:pt>
              </c:strCache>
            </c:strRef>
          </c:cat>
          <c:val>
            <c:numRef>
              <c:f>[ssr_20ue.xls]укр!$C$19:$G$19</c:f>
              <c:numCache>
                <c:formatCode>0.0</c:formatCode>
                <c:ptCount val="5"/>
                <c:pt idx="0">
                  <c:v>1.0000000000000002</c:v>
                </c:pt>
                <c:pt idx="1">
                  <c:v>0.89999999999999969</c:v>
                </c:pt>
                <c:pt idx="2">
                  <c:v>1.0500000000000003</c:v>
                </c:pt>
                <c:pt idx="3">
                  <c:v>1.5833333333333321</c:v>
                </c:pt>
                <c:pt idx="4">
                  <c:v>1.7499999999999998</c:v>
                </c:pt>
              </c:numCache>
            </c:numRef>
          </c:val>
          <c:extLst>
            <c:ext xmlns:c16="http://schemas.microsoft.com/office/drawing/2014/chart" uri="{C3380CC4-5D6E-409C-BE32-E72D297353CC}">
              <c16:uniqueId val="{00000000-11CC-40AB-9DEB-585C445A2232}"/>
            </c:ext>
          </c:extLst>
        </c:ser>
        <c:dLbls>
          <c:showLegendKey val="0"/>
          <c:showVal val="0"/>
          <c:showCatName val="0"/>
          <c:showSerName val="0"/>
          <c:showPercent val="0"/>
          <c:showBubbleSize val="0"/>
        </c:dLbls>
        <c:gapWidth val="219"/>
        <c:axId val="664121568"/>
        <c:axId val="664122552"/>
      </c:barChart>
      <c:catAx>
        <c:axId val="664121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4122552"/>
        <c:crosses val="autoZero"/>
        <c:auto val="1"/>
        <c:lblAlgn val="ctr"/>
        <c:lblOffset val="100"/>
        <c:noMultiLvlLbl val="0"/>
      </c:catAx>
      <c:valAx>
        <c:axId val="664122552"/>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41215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Лист5!$E$5</c:f>
              <c:strCache>
                <c:ptCount val="1"/>
                <c:pt idx="0">
                  <c:v>Зареєстрованих безробітних</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Лист5!$D$6:$D$11</c:f>
              <c:numCache>
                <c:formatCode>General</c:formatCode>
                <c:ptCount val="6"/>
                <c:pt idx="0">
                  <c:v>2019</c:v>
                </c:pt>
                <c:pt idx="1">
                  <c:v>2020</c:v>
                </c:pt>
                <c:pt idx="2">
                  <c:v>2021</c:v>
                </c:pt>
                <c:pt idx="3">
                  <c:v>2022</c:v>
                </c:pt>
                <c:pt idx="4">
                  <c:v>2023</c:v>
                </c:pt>
                <c:pt idx="5" formatCode="mmm\-yy">
                  <c:v>45566</c:v>
                </c:pt>
              </c:numCache>
            </c:numRef>
          </c:cat>
          <c:val>
            <c:numRef>
              <c:f>Лист5!$E$6:$E$11</c:f>
              <c:numCache>
                <c:formatCode>General</c:formatCode>
                <c:ptCount val="6"/>
                <c:pt idx="0">
                  <c:v>338.2</c:v>
                </c:pt>
                <c:pt idx="1">
                  <c:v>459.2</c:v>
                </c:pt>
                <c:pt idx="2">
                  <c:v>295</c:v>
                </c:pt>
                <c:pt idx="3">
                  <c:v>186.5</c:v>
                </c:pt>
                <c:pt idx="4">
                  <c:v>96.1</c:v>
                </c:pt>
                <c:pt idx="5">
                  <c:v>98.6</c:v>
                </c:pt>
              </c:numCache>
            </c:numRef>
          </c:val>
          <c:extLst>
            <c:ext xmlns:c16="http://schemas.microsoft.com/office/drawing/2014/chart" uri="{C3380CC4-5D6E-409C-BE32-E72D297353CC}">
              <c16:uniqueId val="{00000000-F776-41B2-9C0E-836B170BEBE4}"/>
            </c:ext>
          </c:extLst>
        </c:ser>
        <c:ser>
          <c:idx val="1"/>
          <c:order val="1"/>
          <c:tx>
            <c:strRef>
              <c:f>Лист5!$F$5</c:f>
              <c:strCache>
                <c:ptCount val="1"/>
                <c:pt idx="0">
                  <c:v>темп приросту, % </c:v>
                </c:pt>
              </c:strCache>
            </c:strRef>
          </c:tx>
          <c:spPr>
            <a:solidFill>
              <a:schemeClr val="accent2"/>
            </a:solidFill>
            <a:ln>
              <a:noFill/>
            </a:ln>
            <a:effectLst/>
          </c:spPr>
          <c:invertIfNegative val="0"/>
          <c:cat>
            <c:numRef>
              <c:f>Лист5!$D$6:$D$11</c:f>
              <c:numCache>
                <c:formatCode>General</c:formatCode>
                <c:ptCount val="6"/>
                <c:pt idx="0">
                  <c:v>2019</c:v>
                </c:pt>
                <c:pt idx="1">
                  <c:v>2020</c:v>
                </c:pt>
                <c:pt idx="2">
                  <c:v>2021</c:v>
                </c:pt>
                <c:pt idx="3">
                  <c:v>2022</c:v>
                </c:pt>
                <c:pt idx="4">
                  <c:v>2023</c:v>
                </c:pt>
                <c:pt idx="5" formatCode="mmm\-yy">
                  <c:v>45566</c:v>
                </c:pt>
              </c:numCache>
            </c:numRef>
          </c:cat>
          <c:val>
            <c:numRef>
              <c:f>Лист5!$F$6:$F$11</c:f>
              <c:numCache>
                <c:formatCode>0.00</c:formatCode>
                <c:ptCount val="6"/>
                <c:pt idx="1">
                  <c:v>35.777646363098768</c:v>
                </c:pt>
                <c:pt idx="2">
                  <c:v>-35.757839721254356</c:v>
                </c:pt>
                <c:pt idx="3">
                  <c:v>-36.779661016949149</c:v>
                </c:pt>
                <c:pt idx="4">
                  <c:v>-48.471849865951746</c:v>
                </c:pt>
                <c:pt idx="5">
                  <c:v>2.6014568158168458</c:v>
                </c:pt>
              </c:numCache>
            </c:numRef>
          </c:val>
          <c:extLst>
            <c:ext xmlns:c16="http://schemas.microsoft.com/office/drawing/2014/chart" uri="{C3380CC4-5D6E-409C-BE32-E72D297353CC}">
              <c16:uniqueId val="{00000001-F776-41B2-9C0E-836B170BEBE4}"/>
            </c:ext>
          </c:extLst>
        </c:ser>
        <c:dLbls>
          <c:showLegendKey val="0"/>
          <c:showVal val="0"/>
          <c:showCatName val="0"/>
          <c:showSerName val="0"/>
          <c:showPercent val="0"/>
          <c:showBubbleSize val="0"/>
        </c:dLbls>
        <c:gapWidth val="219"/>
        <c:axId val="476920760"/>
        <c:axId val="476922072"/>
      </c:barChart>
      <c:catAx>
        <c:axId val="476920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76922072"/>
        <c:crosses val="autoZero"/>
        <c:auto val="1"/>
        <c:lblAlgn val="ctr"/>
        <c:lblOffset val="100"/>
        <c:noMultiLvlLbl val="0"/>
      </c:catAx>
      <c:valAx>
        <c:axId val="476922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76920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Лист2!$C$7</c:f>
              <c:strCache>
                <c:ptCount val="1"/>
                <c:pt idx="0">
                  <c:v>Індекс людського розвитку (ІЛР)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Лист2!$D$6:$G$6</c:f>
              <c:numCache>
                <c:formatCode>General</c:formatCode>
                <c:ptCount val="4"/>
                <c:pt idx="0">
                  <c:v>2019</c:v>
                </c:pt>
                <c:pt idx="1">
                  <c:v>2020</c:v>
                </c:pt>
                <c:pt idx="2">
                  <c:v>2021</c:v>
                </c:pt>
                <c:pt idx="3">
                  <c:v>2022</c:v>
                </c:pt>
              </c:numCache>
            </c:numRef>
          </c:cat>
          <c:val>
            <c:numRef>
              <c:f>Лист2!$D$7:$G$7</c:f>
              <c:numCache>
                <c:formatCode>General</c:formatCode>
                <c:ptCount val="4"/>
                <c:pt idx="0">
                  <c:v>0.77400000000000002</c:v>
                </c:pt>
                <c:pt idx="1">
                  <c:v>0.76200000000000001</c:v>
                </c:pt>
                <c:pt idx="2">
                  <c:v>0.755</c:v>
                </c:pt>
                <c:pt idx="3">
                  <c:v>0.73899999999999999</c:v>
                </c:pt>
              </c:numCache>
            </c:numRef>
          </c:val>
          <c:extLst>
            <c:ext xmlns:c16="http://schemas.microsoft.com/office/drawing/2014/chart" uri="{C3380CC4-5D6E-409C-BE32-E72D297353CC}">
              <c16:uniqueId val="{00000000-BE61-4B83-B2E2-083F37E54DFD}"/>
            </c:ext>
          </c:extLst>
        </c:ser>
        <c:dLbls>
          <c:showLegendKey val="0"/>
          <c:showVal val="0"/>
          <c:showCatName val="0"/>
          <c:showSerName val="0"/>
          <c:showPercent val="0"/>
          <c:showBubbleSize val="0"/>
        </c:dLbls>
        <c:gapWidth val="182"/>
        <c:axId val="503192288"/>
        <c:axId val="503192616"/>
      </c:barChart>
      <c:catAx>
        <c:axId val="503192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3192616"/>
        <c:crosses val="autoZero"/>
        <c:auto val="1"/>
        <c:lblAlgn val="ctr"/>
        <c:lblOffset val="100"/>
        <c:noMultiLvlLbl val="0"/>
      </c:catAx>
      <c:valAx>
        <c:axId val="5031926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31922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046499308982"/>
          <c:y val="5.0925925925925923E-2"/>
          <c:w val="0.86542960582127537"/>
          <c:h val="0.87134136800994122"/>
        </c:manualLayout>
      </c:layout>
      <c:barChart>
        <c:barDir val="col"/>
        <c:grouping val="clustered"/>
        <c:varyColors val="0"/>
        <c:ser>
          <c:idx val="0"/>
          <c:order val="0"/>
          <c:tx>
            <c:strRef>
              <c:f>Лист1!$E$4</c:f>
              <c:strCache>
                <c:ptCount val="1"/>
                <c:pt idx="0">
                  <c:v>Рентна плата в Зведеному бюджеті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Лист1!$D$5:$D$10</c:f>
              <c:numCache>
                <c:formatCode>General</c:formatCode>
                <c:ptCount val="6"/>
                <c:pt idx="0">
                  <c:v>2019</c:v>
                </c:pt>
                <c:pt idx="1">
                  <c:v>2020</c:v>
                </c:pt>
                <c:pt idx="2">
                  <c:v>2021</c:v>
                </c:pt>
                <c:pt idx="3">
                  <c:v>2022</c:v>
                </c:pt>
                <c:pt idx="4">
                  <c:v>2023</c:v>
                </c:pt>
                <c:pt idx="5" formatCode="mmm\-yy">
                  <c:v>45597</c:v>
                </c:pt>
              </c:numCache>
            </c:numRef>
          </c:cat>
          <c:val>
            <c:numRef>
              <c:f>Лист1!$E$5:$E$10</c:f>
              <c:numCache>
                <c:formatCode>General</c:formatCode>
                <c:ptCount val="6"/>
                <c:pt idx="0">
                  <c:v>52024.9</c:v>
                </c:pt>
                <c:pt idx="1">
                  <c:v>57112.6</c:v>
                </c:pt>
                <c:pt idx="2">
                  <c:v>89318.5</c:v>
                </c:pt>
                <c:pt idx="3">
                  <c:v>94106</c:v>
                </c:pt>
                <c:pt idx="4">
                  <c:v>66310</c:v>
                </c:pt>
                <c:pt idx="5">
                  <c:v>47860.800000000003</c:v>
                </c:pt>
              </c:numCache>
            </c:numRef>
          </c:val>
          <c:extLst>
            <c:ext xmlns:c16="http://schemas.microsoft.com/office/drawing/2014/chart" uri="{C3380CC4-5D6E-409C-BE32-E72D297353CC}">
              <c16:uniqueId val="{00000000-321C-4F95-8A20-111CB08F0DDE}"/>
            </c:ext>
          </c:extLst>
        </c:ser>
        <c:ser>
          <c:idx val="1"/>
          <c:order val="1"/>
          <c:tx>
            <c:strRef>
              <c:f>Лист1!$F$4</c:f>
              <c:strCache>
                <c:ptCount val="1"/>
                <c:pt idx="0">
                  <c:v>Темп приросту, %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Лист1!$D$5:$D$10</c:f>
              <c:numCache>
                <c:formatCode>General</c:formatCode>
                <c:ptCount val="6"/>
                <c:pt idx="0">
                  <c:v>2019</c:v>
                </c:pt>
                <c:pt idx="1">
                  <c:v>2020</c:v>
                </c:pt>
                <c:pt idx="2">
                  <c:v>2021</c:v>
                </c:pt>
                <c:pt idx="3">
                  <c:v>2022</c:v>
                </c:pt>
                <c:pt idx="4">
                  <c:v>2023</c:v>
                </c:pt>
                <c:pt idx="5" formatCode="mmm\-yy">
                  <c:v>45597</c:v>
                </c:pt>
              </c:numCache>
            </c:numRef>
          </c:cat>
          <c:val>
            <c:numRef>
              <c:f>Лист1!$F$5:$F$10</c:f>
              <c:numCache>
                <c:formatCode>0.00</c:formatCode>
                <c:ptCount val="6"/>
                <c:pt idx="1">
                  <c:v>9.7793556546961184</c:v>
                </c:pt>
                <c:pt idx="2">
                  <c:v>56.390183602217377</c:v>
                </c:pt>
                <c:pt idx="3">
                  <c:v>5.3600317963243782</c:v>
                </c:pt>
                <c:pt idx="4">
                  <c:v>-29.536905192017514</c:v>
                </c:pt>
                <c:pt idx="5">
                  <c:v>-27.8226511838335</c:v>
                </c:pt>
              </c:numCache>
            </c:numRef>
          </c:val>
          <c:extLst>
            <c:ext xmlns:c16="http://schemas.microsoft.com/office/drawing/2014/chart" uri="{C3380CC4-5D6E-409C-BE32-E72D297353CC}">
              <c16:uniqueId val="{00000001-321C-4F95-8A20-111CB08F0DDE}"/>
            </c:ext>
          </c:extLst>
        </c:ser>
        <c:dLbls>
          <c:showLegendKey val="0"/>
          <c:showVal val="0"/>
          <c:showCatName val="0"/>
          <c:showSerName val="0"/>
          <c:showPercent val="0"/>
          <c:showBubbleSize val="0"/>
        </c:dLbls>
        <c:gapWidth val="219"/>
        <c:overlap val="-27"/>
        <c:axId val="667614056"/>
        <c:axId val="667613072"/>
      </c:barChart>
      <c:catAx>
        <c:axId val="667614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3072"/>
        <c:crosses val="autoZero"/>
        <c:auto val="1"/>
        <c:lblAlgn val="ctr"/>
        <c:lblOffset val="100"/>
        <c:noMultiLvlLbl val="0"/>
      </c:catAx>
      <c:valAx>
        <c:axId val="667613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4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046499308982"/>
          <c:y val="5.0925925925925923E-2"/>
          <c:w val="0.86542960582127537"/>
          <c:h val="0.87134136800994122"/>
        </c:manualLayout>
      </c:layout>
      <c:barChart>
        <c:barDir val="col"/>
        <c:grouping val="clustered"/>
        <c:varyColors val="0"/>
        <c:ser>
          <c:idx val="0"/>
          <c:order val="0"/>
          <c:tx>
            <c:strRef>
              <c:f>[рента.xlsx]Лист1!$H$4</c:f>
              <c:strCache>
                <c:ptCount val="1"/>
                <c:pt idx="0">
                  <c:v>Доходи Зведеного бюджету України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[рента.xlsx]Лист1!$D$5:$D$10</c:f>
              <c:numCache>
                <c:formatCode>General</c:formatCode>
                <c:ptCount val="6"/>
                <c:pt idx="0">
                  <c:v>2019</c:v>
                </c:pt>
                <c:pt idx="1">
                  <c:v>2020</c:v>
                </c:pt>
                <c:pt idx="2">
                  <c:v>2021</c:v>
                </c:pt>
                <c:pt idx="3">
                  <c:v>2022</c:v>
                </c:pt>
                <c:pt idx="4">
                  <c:v>2023</c:v>
                </c:pt>
                <c:pt idx="5" formatCode="mmm\-yy">
                  <c:v>45597</c:v>
                </c:pt>
              </c:numCache>
            </c:numRef>
          </c:cat>
          <c:val>
            <c:numRef>
              <c:f>[рента.xlsx]Лист1!$H$5:$H$10</c:f>
              <c:numCache>
                <c:formatCode>General</c:formatCode>
                <c:ptCount val="6"/>
                <c:pt idx="0">
                  <c:v>1289779.8</c:v>
                </c:pt>
                <c:pt idx="1">
                  <c:v>1376661.6</c:v>
                </c:pt>
                <c:pt idx="2">
                  <c:v>1662242.7</c:v>
                </c:pt>
                <c:pt idx="3">
                  <c:v>2196273.2999999998</c:v>
                </c:pt>
                <c:pt idx="4">
                  <c:v>3104306.6</c:v>
                </c:pt>
                <c:pt idx="5">
                  <c:v>2725204.3</c:v>
                </c:pt>
              </c:numCache>
            </c:numRef>
          </c:val>
          <c:extLst>
            <c:ext xmlns:c16="http://schemas.microsoft.com/office/drawing/2014/chart" uri="{C3380CC4-5D6E-409C-BE32-E72D297353CC}">
              <c16:uniqueId val="{00000000-2D43-464C-B978-CC4719F38AED}"/>
            </c:ext>
          </c:extLst>
        </c:ser>
        <c:ser>
          <c:idx val="1"/>
          <c:order val="1"/>
          <c:tx>
            <c:strRef>
              <c:f>[рента.xlsx]Лист1!$I$4</c:f>
              <c:strCache>
                <c:ptCount val="1"/>
                <c:pt idx="0">
                  <c:v>Темп приросту, % </c:v>
                </c:pt>
              </c:strCache>
            </c:strRef>
          </c:tx>
          <c:spPr>
            <a:solidFill>
              <a:schemeClr val="accent2"/>
            </a:solidFill>
            <a:ln>
              <a:noFill/>
            </a:ln>
            <a:effectLst/>
          </c:spPr>
          <c:invertIfNegative val="0"/>
          <c:dLbls>
            <c:dLbl>
              <c:idx val="5"/>
              <c:layout>
                <c:manualLayout>
                  <c:x val="3.109096750511461E-2"/>
                  <c:y val="-3.33333333333333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D43-464C-B978-CC4719F38AE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[рента.xlsx]Лист1!$D$5:$D$10</c:f>
              <c:numCache>
                <c:formatCode>General</c:formatCode>
                <c:ptCount val="6"/>
                <c:pt idx="0">
                  <c:v>2019</c:v>
                </c:pt>
                <c:pt idx="1">
                  <c:v>2020</c:v>
                </c:pt>
                <c:pt idx="2">
                  <c:v>2021</c:v>
                </c:pt>
                <c:pt idx="3">
                  <c:v>2022</c:v>
                </c:pt>
                <c:pt idx="4">
                  <c:v>2023</c:v>
                </c:pt>
                <c:pt idx="5" formatCode="mmm\-yy">
                  <c:v>45597</c:v>
                </c:pt>
              </c:numCache>
            </c:numRef>
          </c:cat>
          <c:val>
            <c:numRef>
              <c:f>[рента.xlsx]Лист1!$I$5:$I$10</c:f>
              <c:numCache>
                <c:formatCode>0.00</c:formatCode>
                <c:ptCount val="6"/>
                <c:pt idx="1">
                  <c:v>6.7361731048974463</c:v>
                </c:pt>
                <c:pt idx="2">
                  <c:v>20.744466178180602</c:v>
                </c:pt>
                <c:pt idx="3">
                  <c:v>32.127113567711859</c:v>
                </c:pt>
                <c:pt idx="4">
                  <c:v>41.344276233745603</c:v>
                </c:pt>
                <c:pt idx="5">
                  <c:v>-12.212141030141808</c:v>
                </c:pt>
              </c:numCache>
            </c:numRef>
          </c:val>
          <c:extLst>
            <c:ext xmlns:c16="http://schemas.microsoft.com/office/drawing/2014/chart" uri="{C3380CC4-5D6E-409C-BE32-E72D297353CC}">
              <c16:uniqueId val="{00000002-2D43-464C-B978-CC4719F38AED}"/>
            </c:ext>
          </c:extLst>
        </c:ser>
        <c:dLbls>
          <c:showLegendKey val="0"/>
          <c:showVal val="0"/>
          <c:showCatName val="0"/>
          <c:showSerName val="0"/>
          <c:showPercent val="0"/>
          <c:showBubbleSize val="0"/>
        </c:dLbls>
        <c:gapWidth val="219"/>
        <c:overlap val="-27"/>
        <c:axId val="667614056"/>
        <c:axId val="667613072"/>
      </c:barChart>
      <c:catAx>
        <c:axId val="667614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3072"/>
        <c:crosses val="autoZero"/>
        <c:auto val="1"/>
        <c:lblAlgn val="ctr"/>
        <c:lblOffset val="100"/>
        <c:noMultiLvlLbl val="0"/>
      </c:catAx>
      <c:valAx>
        <c:axId val="667613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4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046499308982"/>
          <c:y val="5.0925925925925923E-2"/>
          <c:w val="0.86542960582127537"/>
          <c:h val="0.87134136800994122"/>
        </c:manualLayout>
      </c:layout>
      <c:barChart>
        <c:barDir val="col"/>
        <c:grouping val="clustered"/>
        <c:varyColors val="0"/>
        <c:ser>
          <c:idx val="0"/>
          <c:order val="0"/>
          <c:tx>
            <c:strRef>
              <c:f>[рента.xlsx]Лист1!$K$4</c:f>
              <c:strCache>
                <c:ptCount val="1"/>
                <c:pt idx="0">
                  <c:v>Питома вага рентних платежів в Зведеному бюджеті України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[рента.xlsx]Лист1!$D$5:$D$10</c:f>
              <c:numCache>
                <c:formatCode>General</c:formatCode>
                <c:ptCount val="6"/>
                <c:pt idx="0">
                  <c:v>2019</c:v>
                </c:pt>
                <c:pt idx="1">
                  <c:v>2020</c:v>
                </c:pt>
                <c:pt idx="2">
                  <c:v>2021</c:v>
                </c:pt>
                <c:pt idx="3">
                  <c:v>2022</c:v>
                </c:pt>
                <c:pt idx="4">
                  <c:v>2023</c:v>
                </c:pt>
                <c:pt idx="5" formatCode="mmm\-yy">
                  <c:v>45597</c:v>
                </c:pt>
              </c:numCache>
            </c:numRef>
          </c:cat>
          <c:val>
            <c:numRef>
              <c:f>[рента.xlsx]Лист1!$K$5:$K$10</c:f>
              <c:numCache>
                <c:formatCode>0.00%</c:formatCode>
                <c:ptCount val="6"/>
                <c:pt idx="0">
                  <c:v>4.0300000000000002E-2</c:v>
                </c:pt>
                <c:pt idx="1">
                  <c:v>4.1500000000000002E-2</c:v>
                </c:pt>
                <c:pt idx="2">
                  <c:v>5.3699999999999998E-2</c:v>
                </c:pt>
                <c:pt idx="3">
                  <c:v>4.2799999999999998E-2</c:v>
                </c:pt>
                <c:pt idx="4">
                  <c:v>2.1399999999999999E-2</c:v>
                </c:pt>
                <c:pt idx="5">
                  <c:v>1.7600000000000001E-2</c:v>
                </c:pt>
              </c:numCache>
            </c:numRef>
          </c:val>
          <c:extLst>
            <c:ext xmlns:c16="http://schemas.microsoft.com/office/drawing/2014/chart" uri="{C3380CC4-5D6E-409C-BE32-E72D297353CC}">
              <c16:uniqueId val="{00000000-B232-4089-9290-C83FCE034081}"/>
            </c:ext>
          </c:extLst>
        </c:ser>
        <c:ser>
          <c:idx val="1"/>
          <c:order val="1"/>
          <c:tx>
            <c:strRef>
              <c:f>[рента.xlsx]Лист1!$L$4</c:f>
              <c:strCache>
                <c:ptCount val="1"/>
                <c:pt idx="0">
                  <c:v>абсолютний приріст,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[рента.xlsx]Лист1!$D$5:$D$10</c:f>
              <c:numCache>
                <c:formatCode>General</c:formatCode>
                <c:ptCount val="6"/>
                <c:pt idx="0">
                  <c:v>2019</c:v>
                </c:pt>
                <c:pt idx="1">
                  <c:v>2020</c:v>
                </c:pt>
                <c:pt idx="2">
                  <c:v>2021</c:v>
                </c:pt>
                <c:pt idx="3">
                  <c:v>2022</c:v>
                </c:pt>
                <c:pt idx="4">
                  <c:v>2023</c:v>
                </c:pt>
                <c:pt idx="5" formatCode="mmm\-yy">
                  <c:v>45597</c:v>
                </c:pt>
              </c:numCache>
            </c:numRef>
          </c:cat>
          <c:val>
            <c:numRef>
              <c:f>[рента.xlsx]Лист1!$L$5:$L$10</c:f>
              <c:numCache>
                <c:formatCode>0.00%</c:formatCode>
                <c:ptCount val="6"/>
                <c:pt idx="1">
                  <c:v>1.1999999999999997E-3</c:v>
                </c:pt>
                <c:pt idx="2">
                  <c:v>1.2199999999999996E-2</c:v>
                </c:pt>
                <c:pt idx="3">
                  <c:v>-1.09E-2</c:v>
                </c:pt>
                <c:pt idx="4">
                  <c:v>-2.1399999999999999E-2</c:v>
                </c:pt>
                <c:pt idx="5">
                  <c:v>-3.7999999999999978E-3</c:v>
                </c:pt>
              </c:numCache>
            </c:numRef>
          </c:val>
          <c:extLst>
            <c:ext xmlns:c16="http://schemas.microsoft.com/office/drawing/2014/chart" uri="{C3380CC4-5D6E-409C-BE32-E72D297353CC}">
              <c16:uniqueId val="{00000001-B232-4089-9290-C83FCE034081}"/>
            </c:ext>
          </c:extLst>
        </c:ser>
        <c:dLbls>
          <c:showLegendKey val="0"/>
          <c:showVal val="0"/>
          <c:showCatName val="0"/>
          <c:showSerName val="0"/>
          <c:showPercent val="0"/>
          <c:showBubbleSize val="0"/>
        </c:dLbls>
        <c:gapWidth val="219"/>
        <c:overlap val="-27"/>
        <c:axId val="667614056"/>
        <c:axId val="667613072"/>
      </c:barChart>
      <c:catAx>
        <c:axId val="667614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3072"/>
        <c:crosses val="autoZero"/>
        <c:auto val="1"/>
        <c:lblAlgn val="ctr"/>
        <c:lblOffset val="100"/>
        <c:noMultiLvlLbl val="0"/>
      </c:catAx>
      <c:valAx>
        <c:axId val="66761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7614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Лист1!$O$4</c:f>
              <c:strCache>
                <c:ptCount val="1"/>
                <c:pt idx="0">
                  <c:v>ВВП України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Лист1!$N$5:$N$9</c:f>
              <c:numCache>
                <c:formatCode>General</c:formatCode>
                <c:ptCount val="5"/>
                <c:pt idx="0">
                  <c:v>2019</c:v>
                </c:pt>
                <c:pt idx="1">
                  <c:v>2020</c:v>
                </c:pt>
                <c:pt idx="2">
                  <c:v>2021</c:v>
                </c:pt>
                <c:pt idx="3">
                  <c:v>2022</c:v>
                </c:pt>
                <c:pt idx="4">
                  <c:v>2023</c:v>
                </c:pt>
              </c:numCache>
            </c:numRef>
          </c:cat>
          <c:val>
            <c:numRef>
              <c:f>Лист1!$O$5:$O$9</c:f>
              <c:numCache>
                <c:formatCode>General</c:formatCode>
                <c:ptCount val="5"/>
                <c:pt idx="0">
                  <c:v>3974564</c:v>
                </c:pt>
                <c:pt idx="1">
                  <c:v>4194102</c:v>
                </c:pt>
                <c:pt idx="2">
                  <c:v>5459574</c:v>
                </c:pt>
                <c:pt idx="3">
                  <c:v>5191028</c:v>
                </c:pt>
                <c:pt idx="4">
                  <c:v>6537825</c:v>
                </c:pt>
              </c:numCache>
            </c:numRef>
          </c:val>
          <c:extLst>
            <c:ext xmlns:c16="http://schemas.microsoft.com/office/drawing/2014/chart" uri="{C3380CC4-5D6E-409C-BE32-E72D297353CC}">
              <c16:uniqueId val="{00000000-7533-42BF-BE13-0844D0954C8C}"/>
            </c:ext>
          </c:extLst>
        </c:ser>
        <c:ser>
          <c:idx val="1"/>
          <c:order val="1"/>
          <c:tx>
            <c:strRef>
              <c:f>Лист1!$P$4</c:f>
              <c:strCache>
                <c:ptCount val="1"/>
                <c:pt idx="0">
                  <c:v>Темп приросту, % </c:v>
                </c:pt>
              </c:strCache>
            </c:strRef>
          </c:tx>
          <c:spPr>
            <a:solidFill>
              <a:schemeClr val="accent2"/>
            </a:solidFill>
            <a:ln>
              <a:noFill/>
            </a:ln>
            <a:effectLst/>
          </c:spPr>
          <c:invertIfNegative val="0"/>
          <c:dLbls>
            <c:dLbl>
              <c:idx val="3"/>
              <c:layout>
                <c:manualLayout>
                  <c:x val="3.0935808197989172E-2"/>
                  <c:y val="-2.55241567912488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33-42BF-BE13-0844D0954C8C}"/>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Лист1!$N$5:$N$9</c:f>
              <c:numCache>
                <c:formatCode>General</c:formatCode>
                <c:ptCount val="5"/>
                <c:pt idx="0">
                  <c:v>2019</c:v>
                </c:pt>
                <c:pt idx="1">
                  <c:v>2020</c:v>
                </c:pt>
                <c:pt idx="2">
                  <c:v>2021</c:v>
                </c:pt>
                <c:pt idx="3">
                  <c:v>2022</c:v>
                </c:pt>
                <c:pt idx="4">
                  <c:v>2023</c:v>
                </c:pt>
              </c:numCache>
            </c:numRef>
          </c:cat>
          <c:val>
            <c:numRef>
              <c:f>Лист1!$P$5:$P$9</c:f>
              <c:numCache>
                <c:formatCode>0.00</c:formatCode>
                <c:ptCount val="5"/>
                <c:pt idx="1">
                  <c:v>5.523574409671113</c:v>
                </c:pt>
                <c:pt idx="2">
                  <c:v>30.172656745114921</c:v>
                </c:pt>
                <c:pt idx="3">
                  <c:v>-4.9188086836079066</c:v>
                </c:pt>
                <c:pt idx="4">
                  <c:v>25.944706905838302</c:v>
                </c:pt>
              </c:numCache>
            </c:numRef>
          </c:val>
          <c:extLst>
            <c:ext xmlns:c16="http://schemas.microsoft.com/office/drawing/2014/chart" uri="{C3380CC4-5D6E-409C-BE32-E72D297353CC}">
              <c16:uniqueId val="{00000002-7533-42BF-BE13-0844D0954C8C}"/>
            </c:ext>
          </c:extLst>
        </c:ser>
        <c:dLbls>
          <c:showLegendKey val="0"/>
          <c:showVal val="0"/>
          <c:showCatName val="0"/>
          <c:showSerName val="0"/>
          <c:showPercent val="0"/>
          <c:showBubbleSize val="0"/>
        </c:dLbls>
        <c:gapWidth val="219"/>
        <c:overlap val="-27"/>
        <c:axId val="584816104"/>
        <c:axId val="584816760"/>
      </c:barChart>
      <c:catAx>
        <c:axId val="584816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4816760"/>
        <c:crosses val="autoZero"/>
        <c:auto val="1"/>
        <c:lblAlgn val="ctr"/>
        <c:lblOffset val="100"/>
        <c:noMultiLvlLbl val="0"/>
      </c:catAx>
      <c:valAx>
        <c:axId val="584816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4816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Лист1!$R$4</c:f>
              <c:strCache>
                <c:ptCount val="1"/>
                <c:pt idx="0">
                  <c:v>Питома вага рентної плати в ВВП</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Лист1!$N$5:$N$9</c:f>
              <c:numCache>
                <c:formatCode>General</c:formatCode>
                <c:ptCount val="5"/>
                <c:pt idx="0">
                  <c:v>2019</c:v>
                </c:pt>
                <c:pt idx="1">
                  <c:v>2020</c:v>
                </c:pt>
                <c:pt idx="2">
                  <c:v>2021</c:v>
                </c:pt>
                <c:pt idx="3">
                  <c:v>2022</c:v>
                </c:pt>
                <c:pt idx="4">
                  <c:v>2023</c:v>
                </c:pt>
              </c:numCache>
            </c:numRef>
          </c:cat>
          <c:val>
            <c:numRef>
              <c:f>Лист1!$R$5:$R$9</c:f>
              <c:numCache>
                <c:formatCode>0.00</c:formatCode>
                <c:ptCount val="5"/>
                <c:pt idx="0">
                  <c:v>1.308946088174703</c:v>
                </c:pt>
                <c:pt idx="1">
                  <c:v>1.3617360760420227</c:v>
                </c:pt>
                <c:pt idx="2">
                  <c:v>1.6359976071393116</c:v>
                </c:pt>
                <c:pt idx="3">
                  <c:v>1.8128586476512938</c:v>
                </c:pt>
                <c:pt idx="4">
                  <c:v>1.0142516815607638</c:v>
                </c:pt>
              </c:numCache>
            </c:numRef>
          </c:val>
          <c:extLst>
            <c:ext xmlns:c16="http://schemas.microsoft.com/office/drawing/2014/chart" uri="{C3380CC4-5D6E-409C-BE32-E72D297353CC}">
              <c16:uniqueId val="{00000000-5969-489C-9C5C-FD5512EFAC38}"/>
            </c:ext>
          </c:extLst>
        </c:ser>
        <c:ser>
          <c:idx val="1"/>
          <c:order val="1"/>
          <c:tx>
            <c:strRef>
              <c:f>Лист1!$S$4</c:f>
              <c:strCache>
                <c:ptCount val="1"/>
                <c:pt idx="0">
                  <c:v>абсолютний приріст,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Лист1!$N$5:$N$9</c:f>
              <c:numCache>
                <c:formatCode>General</c:formatCode>
                <c:ptCount val="5"/>
                <c:pt idx="0">
                  <c:v>2019</c:v>
                </c:pt>
                <c:pt idx="1">
                  <c:v>2020</c:v>
                </c:pt>
                <c:pt idx="2">
                  <c:v>2021</c:v>
                </c:pt>
                <c:pt idx="3">
                  <c:v>2022</c:v>
                </c:pt>
                <c:pt idx="4">
                  <c:v>2023</c:v>
                </c:pt>
              </c:numCache>
            </c:numRef>
          </c:cat>
          <c:val>
            <c:numRef>
              <c:f>Лист1!$S$5:$S$9</c:f>
              <c:numCache>
                <c:formatCode>0.00</c:formatCode>
                <c:ptCount val="5"/>
                <c:pt idx="1">
                  <c:v>5.2789987867319699E-2</c:v>
                </c:pt>
                <c:pt idx="2">
                  <c:v>0.2742615310972889</c:v>
                </c:pt>
                <c:pt idx="3">
                  <c:v>0.17686104051198215</c:v>
                </c:pt>
                <c:pt idx="4">
                  <c:v>-0.79860696609052995</c:v>
                </c:pt>
              </c:numCache>
            </c:numRef>
          </c:val>
          <c:extLst>
            <c:ext xmlns:c16="http://schemas.microsoft.com/office/drawing/2014/chart" uri="{C3380CC4-5D6E-409C-BE32-E72D297353CC}">
              <c16:uniqueId val="{00000001-5969-489C-9C5C-FD5512EFAC38}"/>
            </c:ext>
          </c:extLst>
        </c:ser>
        <c:dLbls>
          <c:showLegendKey val="0"/>
          <c:showVal val="0"/>
          <c:showCatName val="0"/>
          <c:showSerName val="0"/>
          <c:showPercent val="0"/>
          <c:showBubbleSize val="0"/>
        </c:dLbls>
        <c:gapWidth val="219"/>
        <c:axId val="584816104"/>
        <c:axId val="584816760"/>
      </c:barChart>
      <c:catAx>
        <c:axId val="5848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4816760"/>
        <c:crosses val="autoZero"/>
        <c:auto val="1"/>
        <c:lblAlgn val="ctr"/>
        <c:lblOffset val="100"/>
        <c:noMultiLvlLbl val="0"/>
      </c:catAx>
      <c:valAx>
        <c:axId val="5848167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84816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814327-B342-42AC-8316-A686AA86F9D6}" type="doc">
      <dgm:prSet loTypeId="urn:microsoft.com/office/officeart/2005/8/layout/vList5" loCatId="list" qsTypeId="urn:microsoft.com/office/officeart/2005/8/quickstyle/3d3" qsCatId="3D" csTypeId="urn:microsoft.com/office/officeart/2005/8/colors/accent0_1" csCatId="mainScheme" phldr="1"/>
      <dgm:spPr/>
      <dgm:t>
        <a:bodyPr/>
        <a:lstStyle/>
        <a:p>
          <a:endParaRPr lang="ru-RU"/>
        </a:p>
      </dgm:t>
    </dgm:pt>
    <dgm:pt modelId="{AEB24488-8E62-4D8D-B578-AC674CF3E060}">
      <dgm:prSet phldrT="[Текст]" custT="1"/>
      <dgm:spPr/>
      <dgm:t>
        <a:bodyPr/>
        <a:lstStyle/>
        <a:p>
          <a:r>
            <a:rPr lang="uk-UA" sz="1200" b="0">
              <a:latin typeface="Times New Roman" panose="02020603050405020304" pitchFamily="18" charset="0"/>
              <a:cs typeface="Times New Roman" panose="02020603050405020304" pitchFamily="18" charset="0"/>
            </a:rPr>
            <a:t>В. Петі</a:t>
          </a:r>
          <a:endParaRPr lang="ru-RU" sz="1200" b="0">
            <a:latin typeface="Times New Roman" panose="02020603050405020304" pitchFamily="18" charset="0"/>
            <a:cs typeface="Times New Roman" panose="02020603050405020304" pitchFamily="18" charset="0"/>
          </a:endParaRPr>
        </a:p>
      </dgm:t>
    </dgm:pt>
    <dgm:pt modelId="{DA55B584-A482-4A19-A159-EAC16C400D04}" type="parTrans" cxnId="{0503BC3F-7356-4FFE-9B3E-F6D223F568FF}">
      <dgm:prSet/>
      <dgm:spPr/>
      <dgm:t>
        <a:bodyPr/>
        <a:lstStyle/>
        <a:p>
          <a:endParaRPr lang="ru-RU"/>
        </a:p>
      </dgm:t>
    </dgm:pt>
    <dgm:pt modelId="{F2F15953-8E4D-4A28-AF44-D381E44C759F}" type="sibTrans" cxnId="{0503BC3F-7356-4FFE-9B3E-F6D223F568FF}">
      <dgm:prSet/>
      <dgm:spPr/>
      <dgm:t>
        <a:bodyPr/>
        <a:lstStyle/>
        <a:p>
          <a:endParaRPr lang="ru-RU"/>
        </a:p>
      </dgm:t>
    </dgm:pt>
    <dgm:pt modelId="{5BCF2D23-89D1-4B07-B104-E4EA356C5593}">
      <dgm:prSet custT="1"/>
      <dgm:spPr/>
      <dgm:t>
        <a:bodyPr/>
        <a:lstStyle/>
        <a:p>
          <a:r>
            <a:rPr lang="uk-UA" sz="1200" b="0">
              <a:latin typeface="Times New Roman" panose="02020603050405020304" pitchFamily="18" charset="0"/>
              <a:cs typeface="Times New Roman" panose="02020603050405020304" pitchFamily="18" charset="0"/>
            </a:rPr>
            <a:t>Рента - це залишок продукції землероба після відрахування витрат на сівбу, власного споживання та обміну на необхідні товари, який можна вважати природною рентою певного року. Основними чинниками формування ренти є рівень цін на сільськогосподарську продукцію, природна й економічна родючість землі та місце розташування земельної ділянки.</a:t>
          </a:r>
        </a:p>
      </dgm:t>
    </dgm:pt>
    <dgm:pt modelId="{006C0948-08CA-4901-91CE-513E65F34E30}" type="parTrans" cxnId="{4816CCF0-A48D-4397-B042-4CF1643E2639}">
      <dgm:prSet/>
      <dgm:spPr/>
      <dgm:t>
        <a:bodyPr/>
        <a:lstStyle/>
        <a:p>
          <a:endParaRPr lang="ru-RU"/>
        </a:p>
      </dgm:t>
    </dgm:pt>
    <dgm:pt modelId="{7D301805-9C83-40A7-AA37-66A642AEC25D}" type="sibTrans" cxnId="{4816CCF0-A48D-4397-B042-4CF1643E2639}">
      <dgm:prSet/>
      <dgm:spPr/>
      <dgm:t>
        <a:bodyPr/>
        <a:lstStyle/>
        <a:p>
          <a:endParaRPr lang="ru-RU"/>
        </a:p>
      </dgm:t>
    </dgm:pt>
    <dgm:pt modelId="{7CE64B2D-4CA1-4C24-9D9F-BAE074D972EA}">
      <dgm:prSet custT="1"/>
      <dgm:spPr/>
      <dgm:t>
        <a:bodyPr/>
        <a:lstStyle/>
        <a:p>
          <a:r>
            <a:rPr lang="uk-UA" sz="1200" b="0">
              <a:latin typeface="Times New Roman" panose="02020603050405020304" pitchFamily="18" charset="0"/>
              <a:cs typeface="Times New Roman" panose="02020603050405020304" pitchFamily="18" charset="0"/>
            </a:rPr>
            <a:t>А. Сміт</a:t>
          </a:r>
        </a:p>
      </dgm:t>
    </dgm:pt>
    <dgm:pt modelId="{12E82950-8C77-4413-AA33-64EFCA8DF94C}" type="parTrans" cxnId="{C6C5E028-39DC-42D3-ADD3-2117AFF237A9}">
      <dgm:prSet/>
      <dgm:spPr/>
      <dgm:t>
        <a:bodyPr/>
        <a:lstStyle/>
        <a:p>
          <a:endParaRPr lang="ru-RU"/>
        </a:p>
      </dgm:t>
    </dgm:pt>
    <dgm:pt modelId="{D5F840DE-42FA-4AF1-84CC-A68C0B255F62}" type="sibTrans" cxnId="{C6C5E028-39DC-42D3-ADD3-2117AFF237A9}">
      <dgm:prSet/>
      <dgm:spPr/>
      <dgm:t>
        <a:bodyPr/>
        <a:lstStyle/>
        <a:p>
          <a:endParaRPr lang="ru-RU"/>
        </a:p>
      </dgm:t>
    </dgm:pt>
    <dgm:pt modelId="{19F1D0A6-8E1E-4795-B781-CD9323649AE2}">
      <dgm:prSet custT="1"/>
      <dgm:spPr/>
      <dgm:t>
        <a:bodyPr/>
        <a:lstStyle/>
        <a:p>
          <a:r>
            <a:rPr lang="uk-UA" sz="1200" b="0">
              <a:latin typeface="Times New Roman" panose="02020603050405020304" pitchFamily="18" charset="0"/>
              <a:cs typeface="Times New Roman" panose="02020603050405020304" pitchFamily="18" charset="0"/>
            </a:rPr>
            <a:t>Земельна рента - це дохід, який отримує землевласник із землі. Він акцентує увагу на важливості вкладення праці та капіталу в землю для визначення величини ренти.</a:t>
          </a:r>
        </a:p>
      </dgm:t>
    </dgm:pt>
    <dgm:pt modelId="{9ABCC485-B4B8-4AE8-8F73-8330A2523A86}" type="parTrans" cxnId="{002346FA-411A-4FB3-8859-CACFD71D733C}">
      <dgm:prSet/>
      <dgm:spPr/>
      <dgm:t>
        <a:bodyPr/>
        <a:lstStyle/>
        <a:p>
          <a:endParaRPr lang="ru-RU"/>
        </a:p>
      </dgm:t>
    </dgm:pt>
    <dgm:pt modelId="{1AFF7103-F00F-4145-B2E0-177001C610F0}" type="sibTrans" cxnId="{002346FA-411A-4FB3-8859-CACFD71D733C}">
      <dgm:prSet/>
      <dgm:spPr/>
      <dgm:t>
        <a:bodyPr/>
        <a:lstStyle/>
        <a:p>
          <a:endParaRPr lang="ru-RU"/>
        </a:p>
      </dgm:t>
    </dgm:pt>
    <dgm:pt modelId="{3948C852-E0BC-4773-AF63-7043E941D402}">
      <dgm:prSet custT="1"/>
      <dgm:spPr/>
      <dgm:t>
        <a:bodyPr/>
        <a:lstStyle/>
        <a:p>
          <a:r>
            <a:rPr lang="uk-UA" sz="1200" b="0">
              <a:latin typeface="Times New Roman" panose="02020603050405020304" pitchFamily="18" charset="0"/>
              <a:cs typeface="Times New Roman" panose="02020603050405020304" pitchFamily="18" charset="0"/>
            </a:rPr>
            <a:t>Д. Рікардо</a:t>
          </a:r>
        </a:p>
      </dgm:t>
    </dgm:pt>
    <dgm:pt modelId="{18C61590-FD78-485C-BCF0-7B4D38197C5C}" type="parTrans" cxnId="{94749ABE-86CD-42AC-BBC7-2DF83E2D6B49}">
      <dgm:prSet/>
      <dgm:spPr/>
      <dgm:t>
        <a:bodyPr/>
        <a:lstStyle/>
        <a:p>
          <a:endParaRPr lang="ru-RU"/>
        </a:p>
      </dgm:t>
    </dgm:pt>
    <dgm:pt modelId="{B52E6B70-F7ED-45C2-8F90-5AEE9F6B0515}" type="sibTrans" cxnId="{94749ABE-86CD-42AC-BBC7-2DF83E2D6B49}">
      <dgm:prSet/>
      <dgm:spPr/>
      <dgm:t>
        <a:bodyPr/>
        <a:lstStyle/>
        <a:p>
          <a:endParaRPr lang="ru-RU"/>
        </a:p>
      </dgm:t>
    </dgm:pt>
    <dgm:pt modelId="{2801E871-3828-47B1-9247-2D872FCAA001}">
      <dgm:prSet custT="1"/>
      <dgm:spPr/>
      <dgm:t>
        <a:bodyPr/>
        <a:lstStyle/>
        <a:p>
          <a:r>
            <a:rPr lang="uk-UA" sz="1200" b="0">
              <a:latin typeface="Times New Roman" panose="02020603050405020304" pitchFamily="18" charset="0"/>
              <a:cs typeface="Times New Roman" panose="02020603050405020304" pitchFamily="18" charset="0"/>
            </a:rPr>
            <a:t>Земельна рента - це частина продукту землі, що виплачується землевласнику за користування первинними і незруйнованими силами ґрунту. Він визнає тільки диференціальну ренту І, що залежить від природної родючості та місця розташування земельної ділянки.</a:t>
          </a:r>
        </a:p>
      </dgm:t>
    </dgm:pt>
    <dgm:pt modelId="{4BD40EFC-EF20-4FA4-86A2-E43D4E5E7188}" type="parTrans" cxnId="{1ABDE1DC-0AAE-4115-858E-863A55C381A8}">
      <dgm:prSet/>
      <dgm:spPr/>
      <dgm:t>
        <a:bodyPr/>
        <a:lstStyle/>
        <a:p>
          <a:endParaRPr lang="ru-RU"/>
        </a:p>
      </dgm:t>
    </dgm:pt>
    <dgm:pt modelId="{2149975F-A2B4-4DF1-B6BA-F9D102A95A94}" type="sibTrans" cxnId="{1ABDE1DC-0AAE-4115-858E-863A55C381A8}">
      <dgm:prSet/>
      <dgm:spPr/>
      <dgm:t>
        <a:bodyPr/>
        <a:lstStyle/>
        <a:p>
          <a:endParaRPr lang="ru-RU"/>
        </a:p>
      </dgm:t>
    </dgm:pt>
    <dgm:pt modelId="{6EB36D08-A037-483B-9FF9-80BF6AAE180B}">
      <dgm:prSet custT="1"/>
      <dgm:spPr/>
      <dgm:t>
        <a:bodyPr/>
        <a:lstStyle/>
        <a:p>
          <a:r>
            <a:rPr lang="uk-UA" sz="1200" b="0">
              <a:latin typeface="Times New Roman" panose="02020603050405020304" pitchFamily="18" charset="0"/>
              <a:cs typeface="Times New Roman" panose="02020603050405020304" pitchFamily="18" charset="0"/>
            </a:rPr>
            <a:t>А. Тюрго</a:t>
          </a:r>
        </a:p>
      </dgm:t>
    </dgm:pt>
    <dgm:pt modelId="{490A18A8-B7E7-497A-9E7C-655F5D707240}" type="parTrans" cxnId="{A020FE49-CA93-4BB5-A789-FFD56E30BCE8}">
      <dgm:prSet/>
      <dgm:spPr/>
      <dgm:t>
        <a:bodyPr/>
        <a:lstStyle/>
        <a:p>
          <a:endParaRPr lang="ru-RU"/>
        </a:p>
      </dgm:t>
    </dgm:pt>
    <dgm:pt modelId="{5CDA2B6B-F86E-4DBC-BFE3-75AAE62125B8}" type="sibTrans" cxnId="{A020FE49-CA93-4BB5-A789-FFD56E30BCE8}">
      <dgm:prSet/>
      <dgm:spPr/>
      <dgm:t>
        <a:bodyPr/>
        <a:lstStyle/>
        <a:p>
          <a:endParaRPr lang="ru-RU"/>
        </a:p>
      </dgm:t>
    </dgm:pt>
    <dgm:pt modelId="{BE3AEC6F-4E69-470F-B2E6-4072E94AB1BD}">
      <dgm:prSet custT="1"/>
      <dgm:spPr/>
      <dgm:t>
        <a:bodyPr/>
        <a:lstStyle/>
        <a:p>
          <a:r>
            <a:rPr lang="uk-UA" sz="1200" b="0">
              <a:latin typeface="Times New Roman" panose="02020603050405020304" pitchFamily="18" charset="0"/>
              <a:cs typeface="Times New Roman" panose="02020603050405020304" pitchFamily="18" charset="0"/>
            </a:rPr>
            <a:t>Земля та чистий прибуток, отриманий із неї, є єдиним джерелом національного багатства. Він також визнає вплив праці та капіталу на формування диференціальної ренти ІІ.</a:t>
          </a:r>
        </a:p>
      </dgm:t>
    </dgm:pt>
    <dgm:pt modelId="{9F6A0E2F-FF6C-41A0-B8A0-D89FB67A3063}" type="parTrans" cxnId="{E2B9BADF-668B-4F51-8041-D49F815235D0}">
      <dgm:prSet/>
      <dgm:spPr/>
      <dgm:t>
        <a:bodyPr/>
        <a:lstStyle/>
        <a:p>
          <a:endParaRPr lang="ru-RU"/>
        </a:p>
      </dgm:t>
    </dgm:pt>
    <dgm:pt modelId="{122618B5-C7E0-4758-8623-C030E33AF62D}" type="sibTrans" cxnId="{E2B9BADF-668B-4F51-8041-D49F815235D0}">
      <dgm:prSet/>
      <dgm:spPr/>
      <dgm:t>
        <a:bodyPr/>
        <a:lstStyle/>
        <a:p>
          <a:endParaRPr lang="ru-RU"/>
        </a:p>
      </dgm:t>
    </dgm:pt>
    <dgm:pt modelId="{DA18EA28-A63F-452E-9F87-F72423C837D4}">
      <dgm:prSet custT="1"/>
      <dgm:spPr/>
      <dgm:t>
        <a:bodyPr/>
        <a:lstStyle/>
        <a:p>
          <a:r>
            <a:rPr lang="uk-UA" sz="1200" b="0">
              <a:latin typeface="Times New Roman" panose="02020603050405020304" pitchFamily="18" charset="0"/>
              <a:cs typeface="Times New Roman" panose="02020603050405020304" pitchFamily="18" charset="0"/>
            </a:rPr>
            <a:t>К. Маркс</a:t>
          </a:r>
        </a:p>
      </dgm:t>
    </dgm:pt>
    <dgm:pt modelId="{9E306C9A-16B5-40DA-8552-EEBABA777FD3}" type="parTrans" cxnId="{BCE300D4-6895-45B0-93C1-597FFC076E83}">
      <dgm:prSet/>
      <dgm:spPr/>
      <dgm:t>
        <a:bodyPr/>
        <a:lstStyle/>
        <a:p>
          <a:endParaRPr lang="ru-RU"/>
        </a:p>
      </dgm:t>
    </dgm:pt>
    <dgm:pt modelId="{F1DF2B08-EA54-4984-8768-3B2DD709FE24}" type="sibTrans" cxnId="{BCE300D4-6895-45B0-93C1-597FFC076E83}">
      <dgm:prSet/>
      <dgm:spPr/>
      <dgm:t>
        <a:bodyPr/>
        <a:lstStyle/>
        <a:p>
          <a:endParaRPr lang="ru-RU"/>
        </a:p>
      </dgm:t>
    </dgm:pt>
    <dgm:pt modelId="{89A6AAE3-A763-45BA-BFB6-B90D5CC66485}">
      <dgm:prSet custT="1"/>
      <dgm:spPr/>
      <dgm:t>
        <a:bodyPr/>
        <a:lstStyle/>
        <a:p>
          <a:r>
            <a:rPr lang="uk-UA" sz="1200" b="0">
              <a:latin typeface="Times New Roman" panose="02020603050405020304" pitchFamily="18" charset="0"/>
              <a:cs typeface="Times New Roman" panose="02020603050405020304" pitchFamily="18" charset="0"/>
            </a:rPr>
            <a:t>Рента виникає через монополію приватної власності на землю, що створює абсолютну ренту. Він стверджує, що рента виникає, коли органічна будова капіталу в сільському господарстві є нижчою, ніж у промисловості.</a:t>
          </a:r>
        </a:p>
      </dgm:t>
    </dgm:pt>
    <dgm:pt modelId="{69356618-4788-4D67-B52D-6E11457784BD}" type="parTrans" cxnId="{FF7C407B-3B8C-444C-8A15-8B78A1D8FAC4}">
      <dgm:prSet/>
      <dgm:spPr/>
      <dgm:t>
        <a:bodyPr/>
        <a:lstStyle/>
        <a:p>
          <a:endParaRPr lang="ru-RU"/>
        </a:p>
      </dgm:t>
    </dgm:pt>
    <dgm:pt modelId="{5A0F4FCD-706E-46E2-AC0D-334FF84B89A1}" type="sibTrans" cxnId="{FF7C407B-3B8C-444C-8A15-8B78A1D8FAC4}">
      <dgm:prSet/>
      <dgm:spPr/>
      <dgm:t>
        <a:bodyPr/>
        <a:lstStyle/>
        <a:p>
          <a:endParaRPr lang="ru-RU"/>
        </a:p>
      </dgm:t>
    </dgm:pt>
    <dgm:pt modelId="{ED46ED23-86CF-4F22-A1DC-12E32D082072}">
      <dgm:prSet custT="1"/>
      <dgm:spPr/>
      <dgm:t>
        <a:bodyPr/>
        <a:lstStyle/>
        <a:p>
          <a:r>
            <a:rPr lang="uk-UA" sz="1200" b="0">
              <a:latin typeface="Times New Roman" panose="02020603050405020304" pitchFamily="18" charset="0"/>
              <a:cs typeface="Times New Roman" panose="02020603050405020304" pitchFamily="18" charset="0"/>
            </a:rPr>
            <a:t>Йоганн Генріх Фон Тюнен</a:t>
          </a:r>
        </a:p>
      </dgm:t>
    </dgm:pt>
    <dgm:pt modelId="{D8EF484D-FFC0-4D70-B9C5-6DE29EDD12FD}" type="parTrans" cxnId="{CE3EEB43-6547-44C1-B34E-89683ABAF5E4}">
      <dgm:prSet/>
      <dgm:spPr/>
      <dgm:t>
        <a:bodyPr/>
        <a:lstStyle/>
        <a:p>
          <a:endParaRPr lang="ru-RU"/>
        </a:p>
      </dgm:t>
    </dgm:pt>
    <dgm:pt modelId="{E13E38BB-0FAD-4664-913D-B50F60385E47}" type="sibTrans" cxnId="{CE3EEB43-6547-44C1-B34E-89683ABAF5E4}">
      <dgm:prSet/>
      <dgm:spPr/>
      <dgm:t>
        <a:bodyPr/>
        <a:lstStyle/>
        <a:p>
          <a:endParaRPr lang="ru-RU"/>
        </a:p>
      </dgm:t>
    </dgm:pt>
    <dgm:pt modelId="{3337584F-73FF-4310-89F0-278F73CFA787}">
      <dgm:prSet custT="1"/>
      <dgm:spPr/>
      <dgm:t>
        <a:bodyPr/>
        <a:lstStyle/>
        <a:p>
          <a:r>
            <a:rPr lang="uk-UA" sz="1200" b="0">
              <a:latin typeface="Times New Roman" panose="02020603050405020304" pitchFamily="18" charset="0"/>
              <a:cs typeface="Times New Roman" panose="02020603050405020304" pitchFamily="18" charset="0"/>
            </a:rPr>
            <a:t>Земельна рента залежить від місця розташування земельної ділянки. В межах ізольованої держави родючість земель є однаковою, і рента зменшується з відстанню від ринку збуту.</a:t>
          </a:r>
        </a:p>
      </dgm:t>
    </dgm:pt>
    <dgm:pt modelId="{26D1C777-D66F-45C1-A8B5-D356330279BA}" type="parTrans" cxnId="{B79F4936-A5CA-4CD2-B27B-E2E4862F2AFE}">
      <dgm:prSet/>
      <dgm:spPr/>
      <dgm:t>
        <a:bodyPr/>
        <a:lstStyle/>
        <a:p>
          <a:endParaRPr lang="ru-RU"/>
        </a:p>
      </dgm:t>
    </dgm:pt>
    <dgm:pt modelId="{AB3E238D-3C1C-40D1-950A-69AC78AFAF5A}" type="sibTrans" cxnId="{B79F4936-A5CA-4CD2-B27B-E2E4862F2AFE}">
      <dgm:prSet/>
      <dgm:spPr/>
      <dgm:t>
        <a:bodyPr/>
        <a:lstStyle/>
        <a:p>
          <a:endParaRPr lang="ru-RU"/>
        </a:p>
      </dgm:t>
    </dgm:pt>
    <dgm:pt modelId="{A6B14616-8F9B-4F6B-8137-AAF15A49A1B0}">
      <dgm:prSet phldrT="[Текст]" custT="1"/>
      <dgm:spPr/>
      <dgm:t>
        <a:bodyPr/>
        <a:lstStyle/>
        <a:p>
          <a:r>
            <a:rPr lang="ru-RU" sz="1200" b="0">
              <a:latin typeface="Times New Roman" panose="02020603050405020304" pitchFamily="18" charset="0"/>
              <a:cs typeface="Times New Roman" panose="02020603050405020304" pitchFamily="18" charset="0"/>
            </a:rPr>
            <a:t>Автор </a:t>
          </a:r>
        </a:p>
      </dgm:t>
    </dgm:pt>
    <dgm:pt modelId="{CA7E7DBF-43DE-478E-A501-BC850FFCC39A}" type="parTrans" cxnId="{9E9DE1E1-0BD3-4D1A-B14C-38B4EEE09388}">
      <dgm:prSet/>
      <dgm:spPr/>
      <dgm:t>
        <a:bodyPr/>
        <a:lstStyle/>
        <a:p>
          <a:endParaRPr lang="ru-RU"/>
        </a:p>
      </dgm:t>
    </dgm:pt>
    <dgm:pt modelId="{8E716B79-3649-4407-AA94-2E98A70065DE}" type="sibTrans" cxnId="{9E9DE1E1-0BD3-4D1A-B14C-38B4EEE09388}">
      <dgm:prSet/>
      <dgm:spPr/>
      <dgm:t>
        <a:bodyPr/>
        <a:lstStyle/>
        <a:p>
          <a:endParaRPr lang="ru-RU"/>
        </a:p>
      </dgm:t>
    </dgm:pt>
    <dgm:pt modelId="{54429484-2F84-4E75-8146-F65509CF22DA}">
      <dgm:prSet phldrT="[Текст]" custT="1"/>
      <dgm:spPr/>
      <dgm:t>
        <a:bodyPr/>
        <a:lstStyle/>
        <a:p>
          <a:r>
            <a:rPr lang="ru-RU" sz="1200" b="0">
              <a:latin typeface="Times New Roman" panose="02020603050405020304" pitchFamily="18" charset="0"/>
              <a:cs typeface="Times New Roman" panose="02020603050405020304" pitchFamily="18" charset="0"/>
            </a:rPr>
            <a:t>Визначення поняття </a:t>
          </a:r>
        </a:p>
      </dgm:t>
    </dgm:pt>
    <dgm:pt modelId="{41FDFAD2-B38A-4B15-BF7D-B3F45CA39FF0}" type="parTrans" cxnId="{87E77B16-4163-4628-A6D4-E0414E015C28}">
      <dgm:prSet/>
      <dgm:spPr/>
      <dgm:t>
        <a:bodyPr/>
        <a:lstStyle/>
        <a:p>
          <a:endParaRPr lang="ru-RU"/>
        </a:p>
      </dgm:t>
    </dgm:pt>
    <dgm:pt modelId="{71B22810-1D3C-42F3-B654-17FC93EC9E88}" type="sibTrans" cxnId="{87E77B16-4163-4628-A6D4-E0414E015C28}">
      <dgm:prSet/>
      <dgm:spPr/>
      <dgm:t>
        <a:bodyPr/>
        <a:lstStyle/>
        <a:p>
          <a:endParaRPr lang="ru-RU"/>
        </a:p>
      </dgm:t>
    </dgm:pt>
    <dgm:pt modelId="{C39E6C26-653F-4134-BA00-B8FFCD0CF5C3}" type="pres">
      <dgm:prSet presAssocID="{18814327-B342-42AC-8316-A686AA86F9D6}" presName="Name0" presStyleCnt="0">
        <dgm:presLayoutVars>
          <dgm:dir/>
          <dgm:animLvl val="lvl"/>
          <dgm:resizeHandles val="exact"/>
        </dgm:presLayoutVars>
      </dgm:prSet>
      <dgm:spPr/>
    </dgm:pt>
    <dgm:pt modelId="{20566B12-0E2E-45B3-91AE-DCD3418AB85E}" type="pres">
      <dgm:prSet presAssocID="{A6B14616-8F9B-4F6B-8137-AAF15A49A1B0}" presName="linNode" presStyleCnt="0"/>
      <dgm:spPr/>
    </dgm:pt>
    <dgm:pt modelId="{8EB31BEF-17D0-4C64-B6D4-A088EC473004}" type="pres">
      <dgm:prSet presAssocID="{A6B14616-8F9B-4F6B-8137-AAF15A49A1B0}" presName="parentText" presStyleLbl="node1" presStyleIdx="0" presStyleCnt="7" custScaleX="45927" custScaleY="42500">
        <dgm:presLayoutVars>
          <dgm:chMax val="1"/>
          <dgm:bulletEnabled val="1"/>
        </dgm:presLayoutVars>
      </dgm:prSet>
      <dgm:spPr/>
    </dgm:pt>
    <dgm:pt modelId="{CDC899F9-355A-48EF-993B-C7A5260B4193}" type="pres">
      <dgm:prSet presAssocID="{A6B14616-8F9B-4F6B-8137-AAF15A49A1B0}" presName="descendantText" presStyleLbl="alignAccFollowNode1" presStyleIdx="0" presStyleCnt="7" custScaleX="119281" custScaleY="54915">
        <dgm:presLayoutVars>
          <dgm:bulletEnabled val="1"/>
        </dgm:presLayoutVars>
      </dgm:prSet>
      <dgm:spPr/>
    </dgm:pt>
    <dgm:pt modelId="{19A2B7D6-C420-4E5A-B07F-E4672475A794}" type="pres">
      <dgm:prSet presAssocID="{8E716B79-3649-4407-AA94-2E98A70065DE}" presName="sp" presStyleCnt="0"/>
      <dgm:spPr/>
    </dgm:pt>
    <dgm:pt modelId="{DD7251BC-AC40-413D-906D-97FAFE0B9054}" type="pres">
      <dgm:prSet presAssocID="{AEB24488-8E62-4D8D-B578-AC674CF3E060}" presName="linNode" presStyleCnt="0"/>
      <dgm:spPr/>
    </dgm:pt>
    <dgm:pt modelId="{EE697802-99A6-4E06-8E86-818A7D7F0390}" type="pres">
      <dgm:prSet presAssocID="{AEB24488-8E62-4D8D-B578-AC674CF3E060}" presName="parentText" presStyleLbl="node1" presStyleIdx="1" presStyleCnt="7" custScaleX="45927">
        <dgm:presLayoutVars>
          <dgm:chMax val="1"/>
          <dgm:bulletEnabled val="1"/>
        </dgm:presLayoutVars>
      </dgm:prSet>
      <dgm:spPr/>
    </dgm:pt>
    <dgm:pt modelId="{2A550331-5C81-4533-B8A9-37DE24A895F9}" type="pres">
      <dgm:prSet presAssocID="{AEB24488-8E62-4D8D-B578-AC674CF3E060}" presName="descendantText" presStyleLbl="alignAccFollowNode1" presStyleIdx="1" presStyleCnt="7" custScaleX="119281" custScaleY="140662">
        <dgm:presLayoutVars>
          <dgm:bulletEnabled val="1"/>
        </dgm:presLayoutVars>
      </dgm:prSet>
      <dgm:spPr/>
    </dgm:pt>
    <dgm:pt modelId="{7797FDBD-9481-415F-9177-166EB1A8D339}" type="pres">
      <dgm:prSet presAssocID="{F2F15953-8E4D-4A28-AF44-D381E44C759F}" presName="sp" presStyleCnt="0"/>
      <dgm:spPr/>
    </dgm:pt>
    <dgm:pt modelId="{4A2499BB-EB3D-4407-9064-D74E270DE995}" type="pres">
      <dgm:prSet presAssocID="{7CE64B2D-4CA1-4C24-9D9F-BAE074D972EA}" presName="linNode" presStyleCnt="0"/>
      <dgm:spPr/>
    </dgm:pt>
    <dgm:pt modelId="{3E03195B-880B-4E93-B246-FC7756247971}" type="pres">
      <dgm:prSet presAssocID="{7CE64B2D-4CA1-4C24-9D9F-BAE074D972EA}" presName="parentText" presStyleLbl="node1" presStyleIdx="2" presStyleCnt="7" custScaleX="45927" custScaleY="64379">
        <dgm:presLayoutVars>
          <dgm:chMax val="1"/>
          <dgm:bulletEnabled val="1"/>
        </dgm:presLayoutVars>
      </dgm:prSet>
      <dgm:spPr/>
    </dgm:pt>
    <dgm:pt modelId="{0833ED9D-63BF-49C5-93BA-7AFFCF7A0D5D}" type="pres">
      <dgm:prSet presAssocID="{7CE64B2D-4CA1-4C24-9D9F-BAE074D972EA}" presName="descendantText" presStyleLbl="alignAccFollowNode1" presStyleIdx="2" presStyleCnt="7" custScaleX="119281" custScaleY="69218">
        <dgm:presLayoutVars>
          <dgm:bulletEnabled val="1"/>
        </dgm:presLayoutVars>
      </dgm:prSet>
      <dgm:spPr/>
    </dgm:pt>
    <dgm:pt modelId="{538EACF3-B07C-45B5-9365-2A3FDD77EBA8}" type="pres">
      <dgm:prSet presAssocID="{D5F840DE-42FA-4AF1-84CC-A68C0B255F62}" presName="sp" presStyleCnt="0"/>
      <dgm:spPr/>
    </dgm:pt>
    <dgm:pt modelId="{026E2866-B2DB-40EB-9A37-5C00CE0884C1}" type="pres">
      <dgm:prSet presAssocID="{3948C852-E0BC-4773-AF63-7043E941D402}" presName="linNode" presStyleCnt="0"/>
      <dgm:spPr/>
    </dgm:pt>
    <dgm:pt modelId="{62C1DFE3-39D0-42EC-9D56-13733A2C5D7C}" type="pres">
      <dgm:prSet presAssocID="{3948C852-E0BC-4773-AF63-7043E941D402}" presName="parentText" presStyleLbl="node1" presStyleIdx="3" presStyleCnt="7" custScaleX="45927">
        <dgm:presLayoutVars>
          <dgm:chMax val="1"/>
          <dgm:bulletEnabled val="1"/>
        </dgm:presLayoutVars>
      </dgm:prSet>
      <dgm:spPr/>
    </dgm:pt>
    <dgm:pt modelId="{37626B6B-74D6-469B-8D23-250508F11932}" type="pres">
      <dgm:prSet presAssocID="{3948C852-E0BC-4773-AF63-7043E941D402}" presName="descendantText" presStyleLbl="alignAccFollowNode1" presStyleIdx="3" presStyleCnt="7" custScaleX="119281" custScaleY="110402">
        <dgm:presLayoutVars>
          <dgm:bulletEnabled val="1"/>
        </dgm:presLayoutVars>
      </dgm:prSet>
      <dgm:spPr/>
    </dgm:pt>
    <dgm:pt modelId="{6BCB1B0E-306B-495B-A8B2-E48959C4E88C}" type="pres">
      <dgm:prSet presAssocID="{B52E6B70-F7ED-45C2-8F90-5AEE9F6B0515}" presName="sp" presStyleCnt="0"/>
      <dgm:spPr/>
    </dgm:pt>
    <dgm:pt modelId="{AC0B45FC-CB27-4765-830D-3B419D7AFB25}" type="pres">
      <dgm:prSet presAssocID="{6EB36D08-A037-483B-9FF9-80BF6AAE180B}" presName="linNode" presStyleCnt="0"/>
      <dgm:spPr/>
    </dgm:pt>
    <dgm:pt modelId="{B390AAB8-39BA-43DE-A640-9C651006491E}" type="pres">
      <dgm:prSet presAssocID="{6EB36D08-A037-483B-9FF9-80BF6AAE180B}" presName="parentText" presStyleLbl="node1" presStyleIdx="4" presStyleCnt="7" custScaleX="45927" custScaleY="58176">
        <dgm:presLayoutVars>
          <dgm:chMax val="1"/>
          <dgm:bulletEnabled val="1"/>
        </dgm:presLayoutVars>
      </dgm:prSet>
      <dgm:spPr/>
    </dgm:pt>
    <dgm:pt modelId="{9CED12FC-00EF-4D3D-A01D-39A87DF4F666}" type="pres">
      <dgm:prSet presAssocID="{6EB36D08-A037-483B-9FF9-80BF6AAE180B}" presName="descendantText" presStyleLbl="alignAccFollowNode1" presStyleIdx="4" presStyleCnt="7" custScaleX="119281">
        <dgm:presLayoutVars>
          <dgm:bulletEnabled val="1"/>
        </dgm:presLayoutVars>
      </dgm:prSet>
      <dgm:spPr/>
    </dgm:pt>
    <dgm:pt modelId="{7C703C93-6219-4B4B-8878-963F161994E3}" type="pres">
      <dgm:prSet presAssocID="{5CDA2B6B-F86E-4DBC-BFE3-75AAE62125B8}" presName="sp" presStyleCnt="0"/>
      <dgm:spPr/>
    </dgm:pt>
    <dgm:pt modelId="{3FE1AA58-249A-40CD-850B-5D3C1ECB1117}" type="pres">
      <dgm:prSet presAssocID="{DA18EA28-A63F-452E-9F87-F72423C837D4}" presName="linNode" presStyleCnt="0"/>
      <dgm:spPr/>
    </dgm:pt>
    <dgm:pt modelId="{95E9A649-F863-4ECA-97F4-1154FD1BECEA}" type="pres">
      <dgm:prSet presAssocID="{DA18EA28-A63F-452E-9F87-F72423C837D4}" presName="parentText" presStyleLbl="node1" presStyleIdx="5" presStyleCnt="7" custScaleX="45927" custScaleY="71346">
        <dgm:presLayoutVars>
          <dgm:chMax val="1"/>
          <dgm:bulletEnabled val="1"/>
        </dgm:presLayoutVars>
      </dgm:prSet>
      <dgm:spPr/>
    </dgm:pt>
    <dgm:pt modelId="{ECB9F847-46ED-4A7C-A037-E0ACC1FE0549}" type="pres">
      <dgm:prSet presAssocID="{DA18EA28-A63F-452E-9F87-F72423C837D4}" presName="descendantText" presStyleLbl="alignAccFollowNode1" presStyleIdx="5" presStyleCnt="7" custScaleX="119281">
        <dgm:presLayoutVars>
          <dgm:bulletEnabled val="1"/>
        </dgm:presLayoutVars>
      </dgm:prSet>
      <dgm:spPr/>
    </dgm:pt>
    <dgm:pt modelId="{66B67B95-4AC1-4F6A-9986-7E840B32302F}" type="pres">
      <dgm:prSet presAssocID="{F1DF2B08-EA54-4984-8768-3B2DD709FE24}" presName="sp" presStyleCnt="0"/>
      <dgm:spPr/>
    </dgm:pt>
    <dgm:pt modelId="{058CA660-BD30-4E9C-910B-BB9BF009279D}" type="pres">
      <dgm:prSet presAssocID="{ED46ED23-86CF-4F22-A1DC-12E32D082072}" presName="linNode" presStyleCnt="0"/>
      <dgm:spPr/>
    </dgm:pt>
    <dgm:pt modelId="{90E9942B-A637-4512-B98F-07E393177E78}" type="pres">
      <dgm:prSet presAssocID="{ED46ED23-86CF-4F22-A1DC-12E32D082072}" presName="parentText" presStyleLbl="node1" presStyleIdx="6" presStyleCnt="7" custScaleX="45927" custScaleY="62830">
        <dgm:presLayoutVars>
          <dgm:chMax val="1"/>
          <dgm:bulletEnabled val="1"/>
        </dgm:presLayoutVars>
      </dgm:prSet>
      <dgm:spPr/>
    </dgm:pt>
    <dgm:pt modelId="{DB987D6B-B867-46DF-A1CB-A23FAD2BA557}" type="pres">
      <dgm:prSet presAssocID="{ED46ED23-86CF-4F22-A1DC-12E32D082072}" presName="descendantText" presStyleLbl="alignAccFollowNode1" presStyleIdx="6" presStyleCnt="7" custScaleX="119281">
        <dgm:presLayoutVars>
          <dgm:bulletEnabled val="1"/>
        </dgm:presLayoutVars>
      </dgm:prSet>
      <dgm:spPr/>
    </dgm:pt>
  </dgm:ptLst>
  <dgm:cxnLst>
    <dgm:cxn modelId="{33B30007-49A9-4827-9254-B73192369546}" type="presOf" srcId="{18814327-B342-42AC-8316-A686AA86F9D6}" destId="{C39E6C26-653F-4134-BA00-B8FFCD0CF5C3}" srcOrd="0" destOrd="0" presId="urn:microsoft.com/office/officeart/2005/8/layout/vList5"/>
    <dgm:cxn modelId="{87E77B16-4163-4628-A6D4-E0414E015C28}" srcId="{A6B14616-8F9B-4F6B-8137-AAF15A49A1B0}" destId="{54429484-2F84-4E75-8146-F65509CF22DA}" srcOrd="0" destOrd="0" parTransId="{41FDFAD2-B38A-4B15-BF7D-B3F45CA39FF0}" sibTransId="{71B22810-1D3C-42F3-B654-17FC93EC9E88}"/>
    <dgm:cxn modelId="{C6C5E028-39DC-42D3-ADD3-2117AFF237A9}" srcId="{18814327-B342-42AC-8316-A686AA86F9D6}" destId="{7CE64B2D-4CA1-4C24-9D9F-BAE074D972EA}" srcOrd="2" destOrd="0" parTransId="{12E82950-8C77-4413-AA33-64EFCA8DF94C}" sibTransId="{D5F840DE-42FA-4AF1-84CC-A68C0B255F62}"/>
    <dgm:cxn modelId="{A52D5C2A-5CB7-4908-9BF6-A6AE174BC555}" type="presOf" srcId="{3948C852-E0BC-4773-AF63-7043E941D402}" destId="{62C1DFE3-39D0-42EC-9D56-13733A2C5D7C}" srcOrd="0" destOrd="0" presId="urn:microsoft.com/office/officeart/2005/8/layout/vList5"/>
    <dgm:cxn modelId="{8B4EE82E-3069-4771-A117-26DD45FBD41B}" type="presOf" srcId="{AEB24488-8E62-4D8D-B578-AC674CF3E060}" destId="{EE697802-99A6-4E06-8E86-818A7D7F0390}" srcOrd="0" destOrd="0" presId="urn:microsoft.com/office/officeart/2005/8/layout/vList5"/>
    <dgm:cxn modelId="{B79F4936-A5CA-4CD2-B27B-E2E4862F2AFE}" srcId="{ED46ED23-86CF-4F22-A1DC-12E32D082072}" destId="{3337584F-73FF-4310-89F0-278F73CFA787}" srcOrd="0" destOrd="0" parTransId="{26D1C777-D66F-45C1-A8B5-D356330279BA}" sibTransId="{AB3E238D-3C1C-40D1-950A-69AC78AFAF5A}"/>
    <dgm:cxn modelId="{5DD32E3C-8A36-4E16-9350-D0A1417D2690}" type="presOf" srcId="{3337584F-73FF-4310-89F0-278F73CFA787}" destId="{DB987D6B-B867-46DF-A1CB-A23FAD2BA557}" srcOrd="0" destOrd="0" presId="urn:microsoft.com/office/officeart/2005/8/layout/vList5"/>
    <dgm:cxn modelId="{0503BC3F-7356-4FFE-9B3E-F6D223F568FF}" srcId="{18814327-B342-42AC-8316-A686AA86F9D6}" destId="{AEB24488-8E62-4D8D-B578-AC674CF3E060}" srcOrd="1" destOrd="0" parTransId="{DA55B584-A482-4A19-A159-EAC16C400D04}" sibTransId="{F2F15953-8E4D-4A28-AF44-D381E44C759F}"/>
    <dgm:cxn modelId="{57A4DB41-0783-4433-8E22-0EC2477EC42E}" type="presOf" srcId="{2801E871-3828-47B1-9247-2D872FCAA001}" destId="{37626B6B-74D6-469B-8D23-250508F11932}" srcOrd="0" destOrd="0" presId="urn:microsoft.com/office/officeart/2005/8/layout/vList5"/>
    <dgm:cxn modelId="{CE3EEB43-6547-44C1-B34E-89683ABAF5E4}" srcId="{18814327-B342-42AC-8316-A686AA86F9D6}" destId="{ED46ED23-86CF-4F22-A1DC-12E32D082072}" srcOrd="6" destOrd="0" parTransId="{D8EF484D-FFC0-4D70-B9C5-6DE29EDD12FD}" sibTransId="{E13E38BB-0FAD-4664-913D-B50F60385E47}"/>
    <dgm:cxn modelId="{94113B44-A5CA-4F2D-B10E-9D5B8B6B6BB6}" type="presOf" srcId="{A6B14616-8F9B-4F6B-8137-AAF15A49A1B0}" destId="{8EB31BEF-17D0-4C64-B6D4-A088EC473004}" srcOrd="0" destOrd="0" presId="urn:microsoft.com/office/officeart/2005/8/layout/vList5"/>
    <dgm:cxn modelId="{A020FE49-CA93-4BB5-A789-FFD56E30BCE8}" srcId="{18814327-B342-42AC-8316-A686AA86F9D6}" destId="{6EB36D08-A037-483B-9FF9-80BF6AAE180B}" srcOrd="4" destOrd="0" parTransId="{490A18A8-B7E7-497A-9E7C-655F5D707240}" sibTransId="{5CDA2B6B-F86E-4DBC-BFE3-75AAE62125B8}"/>
    <dgm:cxn modelId="{1EDBF873-D7BF-4208-A617-2BC0F5BE897B}" type="presOf" srcId="{7CE64B2D-4CA1-4C24-9D9F-BAE074D972EA}" destId="{3E03195B-880B-4E93-B246-FC7756247971}" srcOrd="0" destOrd="0" presId="urn:microsoft.com/office/officeart/2005/8/layout/vList5"/>
    <dgm:cxn modelId="{96E58854-2F1D-46BE-8544-A859CFF7B46F}" type="presOf" srcId="{54429484-2F84-4E75-8146-F65509CF22DA}" destId="{CDC899F9-355A-48EF-993B-C7A5260B4193}" srcOrd="0" destOrd="0" presId="urn:microsoft.com/office/officeart/2005/8/layout/vList5"/>
    <dgm:cxn modelId="{F81A7977-7144-473D-B7BF-68FD7A9C8F6B}" type="presOf" srcId="{BE3AEC6F-4E69-470F-B2E6-4072E94AB1BD}" destId="{9CED12FC-00EF-4D3D-A01D-39A87DF4F666}" srcOrd="0" destOrd="0" presId="urn:microsoft.com/office/officeart/2005/8/layout/vList5"/>
    <dgm:cxn modelId="{FF7C407B-3B8C-444C-8A15-8B78A1D8FAC4}" srcId="{DA18EA28-A63F-452E-9F87-F72423C837D4}" destId="{89A6AAE3-A763-45BA-BFB6-B90D5CC66485}" srcOrd="0" destOrd="0" parTransId="{69356618-4788-4D67-B52D-6E11457784BD}" sibTransId="{5A0F4FCD-706E-46E2-AC0D-334FF84B89A1}"/>
    <dgm:cxn modelId="{DB1AC6A7-F174-42B0-AC69-1FFD4A46AAE5}" type="presOf" srcId="{5BCF2D23-89D1-4B07-B104-E4EA356C5593}" destId="{2A550331-5C81-4533-B8A9-37DE24A895F9}" srcOrd="0" destOrd="0" presId="urn:microsoft.com/office/officeart/2005/8/layout/vList5"/>
    <dgm:cxn modelId="{C953ABB7-5CB7-49B4-BF3F-E1DAFE4C7B65}" type="presOf" srcId="{6EB36D08-A037-483B-9FF9-80BF6AAE180B}" destId="{B390AAB8-39BA-43DE-A640-9C651006491E}" srcOrd="0" destOrd="0" presId="urn:microsoft.com/office/officeart/2005/8/layout/vList5"/>
    <dgm:cxn modelId="{197A97B8-FFD7-46EF-ABD1-E2DB12A12E6B}" type="presOf" srcId="{DA18EA28-A63F-452E-9F87-F72423C837D4}" destId="{95E9A649-F863-4ECA-97F4-1154FD1BECEA}" srcOrd="0" destOrd="0" presId="urn:microsoft.com/office/officeart/2005/8/layout/vList5"/>
    <dgm:cxn modelId="{94749ABE-86CD-42AC-BBC7-2DF83E2D6B49}" srcId="{18814327-B342-42AC-8316-A686AA86F9D6}" destId="{3948C852-E0BC-4773-AF63-7043E941D402}" srcOrd="3" destOrd="0" parTransId="{18C61590-FD78-485C-BCF0-7B4D38197C5C}" sibTransId="{B52E6B70-F7ED-45C2-8F90-5AEE9F6B0515}"/>
    <dgm:cxn modelId="{E2D0FDBF-04EE-4D00-9AA7-83F43155D017}" type="presOf" srcId="{19F1D0A6-8E1E-4795-B781-CD9323649AE2}" destId="{0833ED9D-63BF-49C5-93BA-7AFFCF7A0D5D}" srcOrd="0" destOrd="0" presId="urn:microsoft.com/office/officeart/2005/8/layout/vList5"/>
    <dgm:cxn modelId="{BCE300D4-6895-45B0-93C1-597FFC076E83}" srcId="{18814327-B342-42AC-8316-A686AA86F9D6}" destId="{DA18EA28-A63F-452E-9F87-F72423C837D4}" srcOrd="5" destOrd="0" parTransId="{9E306C9A-16B5-40DA-8552-EEBABA777FD3}" sibTransId="{F1DF2B08-EA54-4984-8768-3B2DD709FE24}"/>
    <dgm:cxn modelId="{1ABDE1DC-0AAE-4115-858E-863A55C381A8}" srcId="{3948C852-E0BC-4773-AF63-7043E941D402}" destId="{2801E871-3828-47B1-9247-2D872FCAA001}" srcOrd="0" destOrd="0" parTransId="{4BD40EFC-EF20-4FA4-86A2-E43D4E5E7188}" sibTransId="{2149975F-A2B4-4DF1-B6BA-F9D102A95A94}"/>
    <dgm:cxn modelId="{E2B9BADF-668B-4F51-8041-D49F815235D0}" srcId="{6EB36D08-A037-483B-9FF9-80BF6AAE180B}" destId="{BE3AEC6F-4E69-470F-B2E6-4072E94AB1BD}" srcOrd="0" destOrd="0" parTransId="{9F6A0E2F-FF6C-41A0-B8A0-D89FB67A3063}" sibTransId="{122618B5-C7E0-4758-8623-C030E33AF62D}"/>
    <dgm:cxn modelId="{9E9DE1E1-0BD3-4D1A-B14C-38B4EEE09388}" srcId="{18814327-B342-42AC-8316-A686AA86F9D6}" destId="{A6B14616-8F9B-4F6B-8137-AAF15A49A1B0}" srcOrd="0" destOrd="0" parTransId="{CA7E7DBF-43DE-478E-A501-BC850FFCC39A}" sibTransId="{8E716B79-3649-4407-AA94-2E98A70065DE}"/>
    <dgm:cxn modelId="{BE7B58E7-183E-4B60-A800-FDB2C3AA3CC6}" type="presOf" srcId="{ED46ED23-86CF-4F22-A1DC-12E32D082072}" destId="{90E9942B-A637-4512-B98F-07E393177E78}" srcOrd="0" destOrd="0" presId="urn:microsoft.com/office/officeart/2005/8/layout/vList5"/>
    <dgm:cxn modelId="{7FDC17EF-87BF-4A2A-85F2-CC7EA215AEB5}" type="presOf" srcId="{89A6AAE3-A763-45BA-BFB6-B90D5CC66485}" destId="{ECB9F847-46ED-4A7C-A037-E0ACC1FE0549}" srcOrd="0" destOrd="0" presId="urn:microsoft.com/office/officeart/2005/8/layout/vList5"/>
    <dgm:cxn modelId="{4816CCF0-A48D-4397-B042-4CF1643E2639}" srcId="{AEB24488-8E62-4D8D-B578-AC674CF3E060}" destId="{5BCF2D23-89D1-4B07-B104-E4EA356C5593}" srcOrd="0" destOrd="0" parTransId="{006C0948-08CA-4901-91CE-513E65F34E30}" sibTransId="{7D301805-9C83-40A7-AA37-66A642AEC25D}"/>
    <dgm:cxn modelId="{002346FA-411A-4FB3-8859-CACFD71D733C}" srcId="{7CE64B2D-4CA1-4C24-9D9F-BAE074D972EA}" destId="{19F1D0A6-8E1E-4795-B781-CD9323649AE2}" srcOrd="0" destOrd="0" parTransId="{9ABCC485-B4B8-4AE8-8F73-8330A2523A86}" sibTransId="{1AFF7103-F00F-4145-B2E0-177001C610F0}"/>
    <dgm:cxn modelId="{2DBAE249-C074-4E89-93C3-ACBF5455EFBE}" type="presParOf" srcId="{C39E6C26-653F-4134-BA00-B8FFCD0CF5C3}" destId="{20566B12-0E2E-45B3-91AE-DCD3418AB85E}" srcOrd="0" destOrd="0" presId="urn:microsoft.com/office/officeart/2005/8/layout/vList5"/>
    <dgm:cxn modelId="{46CFDB3F-1428-472C-B7FA-8B592F986C60}" type="presParOf" srcId="{20566B12-0E2E-45B3-91AE-DCD3418AB85E}" destId="{8EB31BEF-17D0-4C64-B6D4-A088EC473004}" srcOrd="0" destOrd="0" presId="urn:microsoft.com/office/officeart/2005/8/layout/vList5"/>
    <dgm:cxn modelId="{E2C9A1C4-5D67-4B65-B9C0-24F1AF781E8A}" type="presParOf" srcId="{20566B12-0E2E-45B3-91AE-DCD3418AB85E}" destId="{CDC899F9-355A-48EF-993B-C7A5260B4193}" srcOrd="1" destOrd="0" presId="urn:microsoft.com/office/officeart/2005/8/layout/vList5"/>
    <dgm:cxn modelId="{F24E5E7D-1677-40D6-9790-66E9280AACF5}" type="presParOf" srcId="{C39E6C26-653F-4134-BA00-B8FFCD0CF5C3}" destId="{19A2B7D6-C420-4E5A-B07F-E4672475A794}" srcOrd="1" destOrd="0" presId="urn:microsoft.com/office/officeart/2005/8/layout/vList5"/>
    <dgm:cxn modelId="{8F4707DC-E5DC-4D11-89A6-E110EC2C5E77}" type="presParOf" srcId="{C39E6C26-653F-4134-BA00-B8FFCD0CF5C3}" destId="{DD7251BC-AC40-413D-906D-97FAFE0B9054}" srcOrd="2" destOrd="0" presId="urn:microsoft.com/office/officeart/2005/8/layout/vList5"/>
    <dgm:cxn modelId="{C4AC5993-0AEA-4A77-B88F-FED9A452681C}" type="presParOf" srcId="{DD7251BC-AC40-413D-906D-97FAFE0B9054}" destId="{EE697802-99A6-4E06-8E86-818A7D7F0390}" srcOrd="0" destOrd="0" presId="urn:microsoft.com/office/officeart/2005/8/layout/vList5"/>
    <dgm:cxn modelId="{B57FE004-C1E7-481F-A47C-37E9916D95DC}" type="presParOf" srcId="{DD7251BC-AC40-413D-906D-97FAFE0B9054}" destId="{2A550331-5C81-4533-B8A9-37DE24A895F9}" srcOrd="1" destOrd="0" presId="urn:microsoft.com/office/officeart/2005/8/layout/vList5"/>
    <dgm:cxn modelId="{C86898F7-BD16-4C8F-9713-668B6AA2A395}" type="presParOf" srcId="{C39E6C26-653F-4134-BA00-B8FFCD0CF5C3}" destId="{7797FDBD-9481-415F-9177-166EB1A8D339}" srcOrd="3" destOrd="0" presId="urn:microsoft.com/office/officeart/2005/8/layout/vList5"/>
    <dgm:cxn modelId="{822148C9-75A4-4304-BB45-DC1511550CF6}" type="presParOf" srcId="{C39E6C26-653F-4134-BA00-B8FFCD0CF5C3}" destId="{4A2499BB-EB3D-4407-9064-D74E270DE995}" srcOrd="4" destOrd="0" presId="urn:microsoft.com/office/officeart/2005/8/layout/vList5"/>
    <dgm:cxn modelId="{002DBA98-4977-4C8F-AB2D-9ABC444AD208}" type="presParOf" srcId="{4A2499BB-EB3D-4407-9064-D74E270DE995}" destId="{3E03195B-880B-4E93-B246-FC7756247971}" srcOrd="0" destOrd="0" presId="urn:microsoft.com/office/officeart/2005/8/layout/vList5"/>
    <dgm:cxn modelId="{AAAFEEF9-187C-4E03-B544-21D1EF64AB12}" type="presParOf" srcId="{4A2499BB-EB3D-4407-9064-D74E270DE995}" destId="{0833ED9D-63BF-49C5-93BA-7AFFCF7A0D5D}" srcOrd="1" destOrd="0" presId="urn:microsoft.com/office/officeart/2005/8/layout/vList5"/>
    <dgm:cxn modelId="{E0183D66-9BB2-451B-9962-FC03B987F759}" type="presParOf" srcId="{C39E6C26-653F-4134-BA00-B8FFCD0CF5C3}" destId="{538EACF3-B07C-45B5-9365-2A3FDD77EBA8}" srcOrd="5" destOrd="0" presId="urn:microsoft.com/office/officeart/2005/8/layout/vList5"/>
    <dgm:cxn modelId="{ABF82E30-D038-42F1-811A-A2896981F020}" type="presParOf" srcId="{C39E6C26-653F-4134-BA00-B8FFCD0CF5C3}" destId="{026E2866-B2DB-40EB-9A37-5C00CE0884C1}" srcOrd="6" destOrd="0" presId="urn:microsoft.com/office/officeart/2005/8/layout/vList5"/>
    <dgm:cxn modelId="{EC5C937A-09FF-4C0F-B449-CCB30350A13F}" type="presParOf" srcId="{026E2866-B2DB-40EB-9A37-5C00CE0884C1}" destId="{62C1DFE3-39D0-42EC-9D56-13733A2C5D7C}" srcOrd="0" destOrd="0" presId="urn:microsoft.com/office/officeart/2005/8/layout/vList5"/>
    <dgm:cxn modelId="{64927F20-2DF3-498D-80B7-13E3F7F8ABC0}" type="presParOf" srcId="{026E2866-B2DB-40EB-9A37-5C00CE0884C1}" destId="{37626B6B-74D6-469B-8D23-250508F11932}" srcOrd="1" destOrd="0" presId="urn:microsoft.com/office/officeart/2005/8/layout/vList5"/>
    <dgm:cxn modelId="{9A0F3D64-6D7A-4CDA-A123-816CBE1AA0A5}" type="presParOf" srcId="{C39E6C26-653F-4134-BA00-B8FFCD0CF5C3}" destId="{6BCB1B0E-306B-495B-A8B2-E48959C4E88C}" srcOrd="7" destOrd="0" presId="urn:microsoft.com/office/officeart/2005/8/layout/vList5"/>
    <dgm:cxn modelId="{8A4B4403-EBFA-46A5-BC06-31AEAD3315AD}" type="presParOf" srcId="{C39E6C26-653F-4134-BA00-B8FFCD0CF5C3}" destId="{AC0B45FC-CB27-4765-830D-3B419D7AFB25}" srcOrd="8" destOrd="0" presId="urn:microsoft.com/office/officeart/2005/8/layout/vList5"/>
    <dgm:cxn modelId="{BA907E48-3927-4A2E-BADE-886227EF1146}" type="presParOf" srcId="{AC0B45FC-CB27-4765-830D-3B419D7AFB25}" destId="{B390AAB8-39BA-43DE-A640-9C651006491E}" srcOrd="0" destOrd="0" presId="urn:microsoft.com/office/officeart/2005/8/layout/vList5"/>
    <dgm:cxn modelId="{9E9EE8ED-4398-4B05-9320-6937944F5688}" type="presParOf" srcId="{AC0B45FC-CB27-4765-830D-3B419D7AFB25}" destId="{9CED12FC-00EF-4D3D-A01D-39A87DF4F666}" srcOrd="1" destOrd="0" presId="urn:microsoft.com/office/officeart/2005/8/layout/vList5"/>
    <dgm:cxn modelId="{6C0977CD-CC6C-4138-A0A2-01EF805FBCA3}" type="presParOf" srcId="{C39E6C26-653F-4134-BA00-B8FFCD0CF5C3}" destId="{7C703C93-6219-4B4B-8878-963F161994E3}" srcOrd="9" destOrd="0" presId="urn:microsoft.com/office/officeart/2005/8/layout/vList5"/>
    <dgm:cxn modelId="{38D54467-EA58-498B-B64A-5C81A78A2194}" type="presParOf" srcId="{C39E6C26-653F-4134-BA00-B8FFCD0CF5C3}" destId="{3FE1AA58-249A-40CD-850B-5D3C1ECB1117}" srcOrd="10" destOrd="0" presId="urn:microsoft.com/office/officeart/2005/8/layout/vList5"/>
    <dgm:cxn modelId="{12309EA8-3DC4-4F6D-9F31-5F21369705C8}" type="presParOf" srcId="{3FE1AA58-249A-40CD-850B-5D3C1ECB1117}" destId="{95E9A649-F863-4ECA-97F4-1154FD1BECEA}" srcOrd="0" destOrd="0" presId="urn:microsoft.com/office/officeart/2005/8/layout/vList5"/>
    <dgm:cxn modelId="{F347BE52-3FC9-48EE-A71C-3D2A154AE4E3}" type="presParOf" srcId="{3FE1AA58-249A-40CD-850B-5D3C1ECB1117}" destId="{ECB9F847-46ED-4A7C-A037-E0ACC1FE0549}" srcOrd="1" destOrd="0" presId="urn:microsoft.com/office/officeart/2005/8/layout/vList5"/>
    <dgm:cxn modelId="{17933BD7-8701-4791-8BB0-1F2232AEB8C2}" type="presParOf" srcId="{C39E6C26-653F-4134-BA00-B8FFCD0CF5C3}" destId="{66B67B95-4AC1-4F6A-9986-7E840B32302F}" srcOrd="11" destOrd="0" presId="urn:microsoft.com/office/officeart/2005/8/layout/vList5"/>
    <dgm:cxn modelId="{2153BDA9-10C1-4679-9E89-F633401C95D5}" type="presParOf" srcId="{C39E6C26-653F-4134-BA00-B8FFCD0CF5C3}" destId="{058CA660-BD30-4E9C-910B-BB9BF009279D}" srcOrd="12" destOrd="0" presId="urn:microsoft.com/office/officeart/2005/8/layout/vList5"/>
    <dgm:cxn modelId="{9955168B-8E10-4C2D-826C-C489C2C445A8}" type="presParOf" srcId="{058CA660-BD30-4E9C-910B-BB9BF009279D}" destId="{90E9942B-A637-4512-B98F-07E393177E78}" srcOrd="0" destOrd="0" presId="urn:microsoft.com/office/officeart/2005/8/layout/vList5"/>
    <dgm:cxn modelId="{C0CE9FAB-BE15-4496-A42E-0B3D2A580239}" type="presParOf" srcId="{058CA660-BD30-4E9C-910B-BB9BF009279D}" destId="{DB987D6B-B867-46DF-A1CB-A23FAD2BA557}" srcOrd="1" destOrd="0" presId="urn:microsoft.com/office/officeart/2005/8/layout/vList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47A3F7D-D165-4CB8-A8DC-BD2F11A5F8E3}" type="doc">
      <dgm:prSet loTypeId="urn:microsoft.com/office/officeart/2005/8/layout/vList5" loCatId="list" qsTypeId="urn:microsoft.com/office/officeart/2005/8/quickstyle/3d3" qsCatId="3D" csTypeId="urn:microsoft.com/office/officeart/2005/8/colors/accent0_1" csCatId="mainScheme" phldr="1"/>
      <dgm:spPr/>
      <dgm:t>
        <a:bodyPr/>
        <a:lstStyle/>
        <a:p>
          <a:endParaRPr lang="ru-RU"/>
        </a:p>
      </dgm:t>
    </dgm:pt>
    <dgm:pt modelId="{B12B00AE-5160-4176-87A6-4F89B529B361}">
      <dgm:prSet phldrT="[Текст]" custT="1"/>
      <dgm:spPr/>
      <dgm:t>
        <a:bodyPr/>
        <a:lstStyle/>
        <a:p>
          <a:pPr algn="just"/>
          <a:r>
            <a:rPr lang="uk-UA" sz="1200" b="0">
              <a:latin typeface="Times New Roman" panose="02020603050405020304" pitchFamily="18" charset="0"/>
              <a:cs typeface="Times New Roman" panose="02020603050405020304" pitchFamily="18" charset="0"/>
            </a:rPr>
            <a:t>М. Туган-Барановський</a:t>
          </a:r>
          <a:endParaRPr lang="ru-RU" sz="1200" b="0">
            <a:latin typeface="Times New Roman" panose="02020603050405020304" pitchFamily="18" charset="0"/>
            <a:cs typeface="Times New Roman" panose="02020603050405020304" pitchFamily="18" charset="0"/>
          </a:endParaRPr>
        </a:p>
      </dgm:t>
    </dgm:pt>
    <dgm:pt modelId="{0F8831A7-8183-4578-90C9-84E7E176CCF2}" type="parTrans" cxnId="{0EF11268-7AF1-4107-8B3F-1C664C7B140C}">
      <dgm:prSet/>
      <dgm:spPr/>
      <dgm:t>
        <a:bodyPr/>
        <a:lstStyle/>
        <a:p>
          <a:endParaRPr lang="ru-RU"/>
        </a:p>
      </dgm:t>
    </dgm:pt>
    <dgm:pt modelId="{88CE61E7-9993-410F-927B-8481E50AABA9}" type="sibTrans" cxnId="{0EF11268-7AF1-4107-8B3F-1C664C7B140C}">
      <dgm:prSet/>
      <dgm:spPr/>
      <dgm:t>
        <a:bodyPr/>
        <a:lstStyle/>
        <a:p>
          <a:endParaRPr lang="ru-RU"/>
        </a:p>
      </dgm:t>
    </dgm:pt>
    <dgm:pt modelId="{4D9C95BB-58C1-41C5-81AE-722AD46A4D22}">
      <dgm:prSet custT="1"/>
      <dgm:spPr/>
      <dgm:t>
        <a:bodyPr/>
        <a:lstStyle/>
        <a:p>
          <a:pPr algn="just"/>
          <a:r>
            <a:rPr lang="uk-UA" sz="1200" b="0">
              <a:latin typeface="Times New Roman" panose="02020603050405020304" pitchFamily="18" charset="0"/>
              <a:cs typeface="Times New Roman" panose="02020603050405020304" pitchFamily="18" charset="0"/>
            </a:rPr>
            <a:t>С. Кручок</a:t>
          </a:r>
        </a:p>
      </dgm:t>
    </dgm:pt>
    <dgm:pt modelId="{900D47AB-81E7-4ACC-B977-C4FBF755B392}" type="parTrans" cxnId="{B8417296-221C-438C-B4C3-EAF2ABC7B27F}">
      <dgm:prSet/>
      <dgm:spPr/>
      <dgm:t>
        <a:bodyPr/>
        <a:lstStyle/>
        <a:p>
          <a:endParaRPr lang="ru-RU"/>
        </a:p>
      </dgm:t>
    </dgm:pt>
    <dgm:pt modelId="{BE0361F8-2B9C-42BD-89D1-68C1912353D5}" type="sibTrans" cxnId="{B8417296-221C-438C-B4C3-EAF2ABC7B27F}">
      <dgm:prSet/>
      <dgm:spPr/>
      <dgm:t>
        <a:bodyPr/>
        <a:lstStyle/>
        <a:p>
          <a:endParaRPr lang="ru-RU"/>
        </a:p>
      </dgm:t>
    </dgm:pt>
    <dgm:pt modelId="{9DFC389F-B69A-4F80-8BD8-93E76D3871A6}">
      <dgm:prSet custT="1"/>
      <dgm:spPr/>
      <dgm:t>
        <a:bodyPr/>
        <a:lstStyle/>
        <a:p>
          <a:pPr algn="just"/>
          <a:r>
            <a:rPr lang="uk-UA" sz="1200" b="0">
              <a:latin typeface="Times New Roman" panose="02020603050405020304" pitchFamily="18" charset="0"/>
              <a:cs typeface="Times New Roman" panose="02020603050405020304" pitchFamily="18" charset="0"/>
            </a:rPr>
            <a:t>І. Малий</a:t>
          </a:r>
        </a:p>
      </dgm:t>
    </dgm:pt>
    <dgm:pt modelId="{2CFE703B-F99A-4F6F-8A1D-901566A03600}" type="parTrans" cxnId="{ADBF03FA-312E-44B2-B07B-739C28158AAE}">
      <dgm:prSet/>
      <dgm:spPr/>
      <dgm:t>
        <a:bodyPr/>
        <a:lstStyle/>
        <a:p>
          <a:endParaRPr lang="ru-RU"/>
        </a:p>
      </dgm:t>
    </dgm:pt>
    <dgm:pt modelId="{E61259F0-E415-4EBE-9A82-583D8793EF29}" type="sibTrans" cxnId="{ADBF03FA-312E-44B2-B07B-739C28158AAE}">
      <dgm:prSet/>
      <dgm:spPr/>
      <dgm:t>
        <a:bodyPr/>
        <a:lstStyle/>
        <a:p>
          <a:endParaRPr lang="ru-RU"/>
        </a:p>
      </dgm:t>
    </dgm:pt>
    <dgm:pt modelId="{3BA5B708-BBC9-40A3-802D-1E653FF80A0C}">
      <dgm:prSet custT="1"/>
      <dgm:spPr/>
      <dgm:t>
        <a:bodyPr/>
        <a:lstStyle/>
        <a:p>
          <a:pPr algn="just"/>
          <a:r>
            <a:rPr lang="uk-UA" sz="1200" b="0">
              <a:latin typeface="Times New Roman" panose="02020603050405020304" pitchFamily="18" charset="0"/>
              <a:cs typeface="Times New Roman" panose="02020603050405020304" pitchFamily="18" charset="0"/>
            </a:rPr>
            <a:t>С. Мочерний</a:t>
          </a:r>
        </a:p>
      </dgm:t>
    </dgm:pt>
    <dgm:pt modelId="{368D03EE-1675-44F6-BEBE-BC329CA91363}" type="parTrans" cxnId="{B1949C6D-A720-4AD5-8F9F-D44F87684BB0}">
      <dgm:prSet/>
      <dgm:spPr/>
      <dgm:t>
        <a:bodyPr/>
        <a:lstStyle/>
        <a:p>
          <a:endParaRPr lang="ru-RU"/>
        </a:p>
      </dgm:t>
    </dgm:pt>
    <dgm:pt modelId="{CA5883CC-D57E-4010-B108-C24CFD294063}" type="sibTrans" cxnId="{B1949C6D-A720-4AD5-8F9F-D44F87684BB0}">
      <dgm:prSet/>
      <dgm:spPr/>
      <dgm:t>
        <a:bodyPr/>
        <a:lstStyle/>
        <a:p>
          <a:endParaRPr lang="ru-RU"/>
        </a:p>
      </dgm:t>
    </dgm:pt>
    <dgm:pt modelId="{BB27A585-83AD-4B51-BF21-8A6AA7F31494}">
      <dgm:prSet phldrT="[Текст]" custT="1"/>
      <dgm:spPr/>
      <dgm:t>
        <a:bodyPr/>
        <a:lstStyle/>
        <a:p>
          <a:pPr algn="just"/>
          <a:r>
            <a:rPr lang="uk-UA" sz="1200" b="0">
              <a:latin typeface="Times New Roman" panose="02020603050405020304" pitchFamily="18" charset="0"/>
              <a:cs typeface="Times New Roman" panose="02020603050405020304" pitchFamily="18" charset="0"/>
            </a:rPr>
            <a:t>Земельна рента - це нетрудовий дохід, що виникає внаслідок використання стійких корисних властивостей землі.</a:t>
          </a:r>
          <a:endParaRPr lang="ru-RU" sz="1200" b="0">
            <a:latin typeface="Times New Roman" panose="02020603050405020304" pitchFamily="18" charset="0"/>
            <a:cs typeface="Times New Roman" panose="02020603050405020304" pitchFamily="18" charset="0"/>
          </a:endParaRPr>
        </a:p>
      </dgm:t>
    </dgm:pt>
    <dgm:pt modelId="{76E27489-91B0-493B-B579-5324E9C69615}" type="parTrans" cxnId="{B70F87CA-6E02-4C1F-8B9F-F98CF0594E58}">
      <dgm:prSet/>
      <dgm:spPr/>
      <dgm:t>
        <a:bodyPr/>
        <a:lstStyle/>
        <a:p>
          <a:endParaRPr lang="ru-RU"/>
        </a:p>
      </dgm:t>
    </dgm:pt>
    <dgm:pt modelId="{90C1AD8E-73EF-40E7-8289-EE6DC35619D3}" type="sibTrans" cxnId="{B70F87CA-6E02-4C1F-8B9F-F98CF0594E58}">
      <dgm:prSet/>
      <dgm:spPr/>
      <dgm:t>
        <a:bodyPr/>
        <a:lstStyle/>
        <a:p>
          <a:endParaRPr lang="ru-RU"/>
        </a:p>
      </dgm:t>
    </dgm:pt>
    <dgm:pt modelId="{75E9F38C-07BC-4CD7-BAD2-5B054187C676}">
      <dgm:prSet custT="1"/>
      <dgm:spPr/>
      <dgm:t>
        <a:bodyPr/>
        <a:lstStyle/>
        <a:p>
          <a:pPr algn="just"/>
          <a:r>
            <a:rPr lang="uk-UA" sz="1200" b="0">
              <a:latin typeface="Times New Roman" panose="02020603050405020304" pitchFamily="18" charset="0"/>
              <a:cs typeface="Times New Roman" panose="02020603050405020304" pitchFamily="18" charset="0"/>
            </a:rPr>
            <a:t>Земельна рента - це дохід землевласника, у якому реалізується право власності на землю. Він виокремлює абсолютну та диференціальну ренту, визначаючи основні рентотвірні чинники як ціни на сільськогосподарську продукцію, родючість ґрунту, місце розташування земельної ділянки та інтенсифікацію виробництва.</a:t>
          </a:r>
        </a:p>
      </dgm:t>
    </dgm:pt>
    <dgm:pt modelId="{13EF9A60-DA23-4121-81F3-4C9EED55FD98}" type="parTrans" cxnId="{E65BEAAD-FD4F-45B4-A7A1-C0F949DD7DC7}">
      <dgm:prSet/>
      <dgm:spPr/>
      <dgm:t>
        <a:bodyPr/>
        <a:lstStyle/>
        <a:p>
          <a:endParaRPr lang="ru-RU"/>
        </a:p>
      </dgm:t>
    </dgm:pt>
    <dgm:pt modelId="{27BB0BEC-47BA-4B8F-91FF-B8CF24BF31B2}" type="sibTrans" cxnId="{E65BEAAD-FD4F-45B4-A7A1-C0F949DD7DC7}">
      <dgm:prSet/>
      <dgm:spPr/>
      <dgm:t>
        <a:bodyPr/>
        <a:lstStyle/>
        <a:p>
          <a:endParaRPr lang="ru-RU"/>
        </a:p>
      </dgm:t>
    </dgm:pt>
    <dgm:pt modelId="{C4DFD6CB-3A8A-4167-B1BE-465E37CDE101}">
      <dgm:prSet custT="1"/>
      <dgm:spPr/>
      <dgm:t>
        <a:bodyPr/>
        <a:lstStyle/>
        <a:p>
          <a:pPr algn="just"/>
          <a:r>
            <a:rPr lang="uk-UA" sz="1200" b="0">
              <a:latin typeface="Times New Roman" panose="02020603050405020304" pitchFamily="18" charset="0"/>
              <a:cs typeface="Times New Roman" panose="02020603050405020304" pitchFamily="18" charset="0"/>
            </a:rPr>
            <a:t>Джерело земельної ренти полягає в приватній власності на землю, яка гарантує "дожиттєвий дохід" власнику.</a:t>
          </a:r>
        </a:p>
      </dgm:t>
    </dgm:pt>
    <dgm:pt modelId="{3FE604AB-85AC-4DE1-B21C-F89A5B8F3A16}" type="parTrans" cxnId="{4F626233-E3D4-4012-AC2A-A2723EDCB6F9}">
      <dgm:prSet/>
      <dgm:spPr/>
      <dgm:t>
        <a:bodyPr/>
        <a:lstStyle/>
        <a:p>
          <a:endParaRPr lang="ru-RU"/>
        </a:p>
      </dgm:t>
    </dgm:pt>
    <dgm:pt modelId="{BA5FD4E4-DEFC-4C93-BE39-EA9B5E367B46}" type="sibTrans" cxnId="{4F626233-E3D4-4012-AC2A-A2723EDCB6F9}">
      <dgm:prSet/>
      <dgm:spPr/>
      <dgm:t>
        <a:bodyPr/>
        <a:lstStyle/>
        <a:p>
          <a:endParaRPr lang="ru-RU"/>
        </a:p>
      </dgm:t>
    </dgm:pt>
    <dgm:pt modelId="{36BB6111-B0D3-4709-8F4F-2A7BC327F7DA}">
      <dgm:prSet custT="1"/>
      <dgm:spPr/>
      <dgm:t>
        <a:bodyPr/>
        <a:lstStyle/>
        <a:p>
          <a:pPr algn="just"/>
          <a:r>
            <a:rPr lang="uk-UA" sz="1200" b="0">
              <a:latin typeface="Times New Roman" panose="02020603050405020304" pitchFamily="18" charset="0"/>
              <a:cs typeface="Times New Roman" panose="02020603050405020304" pitchFamily="18" charset="0"/>
            </a:rPr>
            <a:t>Земельна рента - це форма економічної реалізації власності на землю, що виникає у процесі праці та привласнення її результатів у різних сферах суспільного відтворення. Він виокремлює три основні форми ренти: диференціальну, абсолютну та монопольну. Диференціальна рента поділяється на два типи: І та ІІ, залежно від природної родючості та інтенсивного ведення господарської діяльності.</a:t>
          </a:r>
        </a:p>
      </dgm:t>
    </dgm:pt>
    <dgm:pt modelId="{F7EB236E-3074-44CB-AD23-9798FADD065B}" type="parTrans" cxnId="{84E0368A-6008-46EB-AC90-B3CABE9FF0D9}">
      <dgm:prSet/>
      <dgm:spPr/>
      <dgm:t>
        <a:bodyPr/>
        <a:lstStyle/>
        <a:p>
          <a:endParaRPr lang="ru-RU"/>
        </a:p>
      </dgm:t>
    </dgm:pt>
    <dgm:pt modelId="{53BBA52F-3531-46AD-84FD-9DC7ED5AC045}" type="sibTrans" cxnId="{84E0368A-6008-46EB-AC90-B3CABE9FF0D9}">
      <dgm:prSet/>
      <dgm:spPr/>
      <dgm:t>
        <a:bodyPr/>
        <a:lstStyle/>
        <a:p>
          <a:endParaRPr lang="ru-RU"/>
        </a:p>
      </dgm:t>
    </dgm:pt>
    <dgm:pt modelId="{08175E3D-787C-4130-81D8-0A8726824806}">
      <dgm:prSet phldrT="[Текст]" custT="1"/>
      <dgm:spPr/>
      <dgm:t>
        <a:bodyPr/>
        <a:lstStyle/>
        <a:p>
          <a:pPr algn="just"/>
          <a:r>
            <a:rPr lang="ru-RU" sz="1200" b="0">
              <a:latin typeface="Times New Roman" panose="02020603050405020304" pitchFamily="18" charset="0"/>
              <a:cs typeface="Times New Roman" panose="02020603050405020304" pitchFamily="18" charset="0"/>
            </a:rPr>
            <a:t>Автор </a:t>
          </a:r>
        </a:p>
      </dgm:t>
    </dgm:pt>
    <dgm:pt modelId="{5F7BD40D-98C1-45CE-AA66-01810E8EC92C}" type="parTrans" cxnId="{A80B950E-B924-4887-B878-D096BD4FCE78}">
      <dgm:prSet/>
      <dgm:spPr/>
      <dgm:t>
        <a:bodyPr/>
        <a:lstStyle/>
        <a:p>
          <a:endParaRPr lang="ru-RU"/>
        </a:p>
      </dgm:t>
    </dgm:pt>
    <dgm:pt modelId="{0FCFFD91-D89C-40CA-85F6-94CD75538D23}" type="sibTrans" cxnId="{A80B950E-B924-4887-B878-D096BD4FCE78}">
      <dgm:prSet/>
      <dgm:spPr/>
      <dgm:t>
        <a:bodyPr/>
        <a:lstStyle/>
        <a:p>
          <a:endParaRPr lang="ru-RU"/>
        </a:p>
      </dgm:t>
    </dgm:pt>
    <dgm:pt modelId="{04FBC319-5239-4E88-8BC5-13BE61D32D5D}">
      <dgm:prSet phldrT="[Текст]" custT="1"/>
      <dgm:spPr/>
      <dgm:t>
        <a:bodyPr/>
        <a:lstStyle/>
        <a:p>
          <a:pPr algn="just"/>
          <a:r>
            <a:rPr lang="ru-RU" sz="1200" b="0">
              <a:latin typeface="Times New Roman" panose="02020603050405020304" pitchFamily="18" charset="0"/>
              <a:cs typeface="Times New Roman" panose="02020603050405020304" pitchFamily="18" charset="0"/>
            </a:rPr>
            <a:t>Визначення поняття</a:t>
          </a:r>
        </a:p>
      </dgm:t>
    </dgm:pt>
    <dgm:pt modelId="{BF9C88D9-C777-4683-80F6-36BCB9F3ECBA}" type="parTrans" cxnId="{44ECA37C-15DF-4452-B3A7-32DA6FE0D2B1}">
      <dgm:prSet/>
      <dgm:spPr/>
      <dgm:t>
        <a:bodyPr/>
        <a:lstStyle/>
        <a:p>
          <a:endParaRPr lang="ru-RU"/>
        </a:p>
      </dgm:t>
    </dgm:pt>
    <dgm:pt modelId="{CC258A9A-C042-4CDB-9042-DE64542ABB27}" type="sibTrans" cxnId="{44ECA37C-15DF-4452-B3A7-32DA6FE0D2B1}">
      <dgm:prSet/>
      <dgm:spPr/>
      <dgm:t>
        <a:bodyPr/>
        <a:lstStyle/>
        <a:p>
          <a:endParaRPr lang="ru-RU"/>
        </a:p>
      </dgm:t>
    </dgm:pt>
    <dgm:pt modelId="{AC3F067B-37C5-4869-9975-53BA63B36B4B}" type="pres">
      <dgm:prSet presAssocID="{D47A3F7D-D165-4CB8-A8DC-BD2F11A5F8E3}" presName="Name0" presStyleCnt="0">
        <dgm:presLayoutVars>
          <dgm:dir/>
          <dgm:animLvl val="lvl"/>
          <dgm:resizeHandles val="exact"/>
        </dgm:presLayoutVars>
      </dgm:prSet>
      <dgm:spPr/>
    </dgm:pt>
    <dgm:pt modelId="{4B336D81-BD6D-4049-9E31-BEA75FA0B3F4}" type="pres">
      <dgm:prSet presAssocID="{08175E3D-787C-4130-81D8-0A8726824806}" presName="linNode" presStyleCnt="0"/>
      <dgm:spPr/>
    </dgm:pt>
    <dgm:pt modelId="{3F3EEF9B-F4DE-46A6-922B-2A50593838A5}" type="pres">
      <dgm:prSet presAssocID="{08175E3D-787C-4130-81D8-0A8726824806}" presName="parentText" presStyleLbl="node1" presStyleIdx="0" presStyleCnt="5" custScaleX="58165" custScaleY="28967">
        <dgm:presLayoutVars>
          <dgm:chMax val="1"/>
          <dgm:bulletEnabled val="1"/>
        </dgm:presLayoutVars>
      </dgm:prSet>
      <dgm:spPr/>
    </dgm:pt>
    <dgm:pt modelId="{556A867A-0873-4E52-89A0-C4C46F718021}" type="pres">
      <dgm:prSet presAssocID="{08175E3D-787C-4130-81D8-0A8726824806}" presName="descendantText" presStyleLbl="alignAccFollowNode1" presStyleIdx="0" presStyleCnt="5" custScaleX="113176" custScaleY="42714">
        <dgm:presLayoutVars>
          <dgm:bulletEnabled val="1"/>
        </dgm:presLayoutVars>
      </dgm:prSet>
      <dgm:spPr/>
    </dgm:pt>
    <dgm:pt modelId="{8E72F62B-18C6-459E-9B71-AF8E9E3CE0E0}" type="pres">
      <dgm:prSet presAssocID="{0FCFFD91-D89C-40CA-85F6-94CD75538D23}" presName="sp" presStyleCnt="0"/>
      <dgm:spPr/>
    </dgm:pt>
    <dgm:pt modelId="{32AD4D0D-2D22-4976-8B42-19CD2E94FE7C}" type="pres">
      <dgm:prSet presAssocID="{B12B00AE-5160-4176-87A6-4F89B529B361}" presName="linNode" presStyleCnt="0"/>
      <dgm:spPr/>
    </dgm:pt>
    <dgm:pt modelId="{D20175F9-25A6-47EB-9B9D-4E7C5DC6EE38}" type="pres">
      <dgm:prSet presAssocID="{B12B00AE-5160-4176-87A6-4F89B529B361}" presName="parentText" presStyleLbl="node1" presStyleIdx="1" presStyleCnt="5" custScaleX="58165" custScaleY="46643">
        <dgm:presLayoutVars>
          <dgm:chMax val="1"/>
          <dgm:bulletEnabled val="1"/>
        </dgm:presLayoutVars>
      </dgm:prSet>
      <dgm:spPr/>
    </dgm:pt>
    <dgm:pt modelId="{32DCC505-EDA8-44A3-A517-7538BD21E2AB}" type="pres">
      <dgm:prSet presAssocID="{B12B00AE-5160-4176-87A6-4F89B529B361}" presName="descendantText" presStyleLbl="alignAccFollowNode1" presStyleIdx="1" presStyleCnt="5" custScaleX="113176" custScaleY="54462">
        <dgm:presLayoutVars>
          <dgm:bulletEnabled val="1"/>
        </dgm:presLayoutVars>
      </dgm:prSet>
      <dgm:spPr/>
    </dgm:pt>
    <dgm:pt modelId="{3C65FEC8-EC1A-4F27-BE17-C3B5F8CA78B1}" type="pres">
      <dgm:prSet presAssocID="{88CE61E7-9993-410F-927B-8481E50AABA9}" presName="sp" presStyleCnt="0"/>
      <dgm:spPr/>
    </dgm:pt>
    <dgm:pt modelId="{057E3A49-A4C9-416E-87BF-B0CDCC649070}" type="pres">
      <dgm:prSet presAssocID="{4D9C95BB-58C1-41C5-81AE-722AD46A4D22}" presName="linNode" presStyleCnt="0"/>
      <dgm:spPr/>
    </dgm:pt>
    <dgm:pt modelId="{1A56F008-2F3A-4C52-9D5D-2CE22F27B288}" type="pres">
      <dgm:prSet presAssocID="{4D9C95BB-58C1-41C5-81AE-722AD46A4D22}" presName="parentText" presStyleLbl="node1" presStyleIdx="2" presStyleCnt="5" custScaleX="58165">
        <dgm:presLayoutVars>
          <dgm:chMax val="1"/>
          <dgm:bulletEnabled val="1"/>
        </dgm:presLayoutVars>
      </dgm:prSet>
      <dgm:spPr/>
    </dgm:pt>
    <dgm:pt modelId="{90D6B42D-6D73-4997-85E4-8B07D1B9BC4C}" type="pres">
      <dgm:prSet presAssocID="{4D9C95BB-58C1-41C5-81AE-722AD46A4D22}" presName="descendantText" presStyleLbl="alignAccFollowNode1" presStyleIdx="2" presStyleCnt="5" custScaleX="113176" custScaleY="122219">
        <dgm:presLayoutVars>
          <dgm:bulletEnabled val="1"/>
        </dgm:presLayoutVars>
      </dgm:prSet>
      <dgm:spPr/>
    </dgm:pt>
    <dgm:pt modelId="{95D308B9-1411-4284-9A15-84E4443C098F}" type="pres">
      <dgm:prSet presAssocID="{BE0361F8-2B9C-42BD-89D1-68C1912353D5}" presName="sp" presStyleCnt="0"/>
      <dgm:spPr/>
    </dgm:pt>
    <dgm:pt modelId="{94B5BF81-CD57-43D2-A0EE-6D50CF763BC8}" type="pres">
      <dgm:prSet presAssocID="{9DFC389F-B69A-4F80-8BD8-93E76D3871A6}" presName="linNode" presStyleCnt="0"/>
      <dgm:spPr/>
    </dgm:pt>
    <dgm:pt modelId="{FC547D13-F2A0-47A6-B618-685E60204BCD}" type="pres">
      <dgm:prSet presAssocID="{9DFC389F-B69A-4F80-8BD8-93E76D3871A6}" presName="parentText" presStyleLbl="node1" presStyleIdx="3" presStyleCnt="5" custScaleX="58165" custScaleY="45006">
        <dgm:presLayoutVars>
          <dgm:chMax val="1"/>
          <dgm:bulletEnabled val="1"/>
        </dgm:presLayoutVars>
      </dgm:prSet>
      <dgm:spPr/>
    </dgm:pt>
    <dgm:pt modelId="{DA0E5A1B-6125-4D7C-ACBF-D88D843CD6A1}" type="pres">
      <dgm:prSet presAssocID="{9DFC389F-B69A-4F80-8BD8-93E76D3871A6}" presName="descendantText" presStyleLbl="alignAccFollowNode1" presStyleIdx="3" presStyleCnt="5" custScaleX="113176" custScaleY="53392">
        <dgm:presLayoutVars>
          <dgm:bulletEnabled val="1"/>
        </dgm:presLayoutVars>
      </dgm:prSet>
      <dgm:spPr/>
    </dgm:pt>
    <dgm:pt modelId="{8402898F-8EDD-40DA-AA1D-1914790F5283}" type="pres">
      <dgm:prSet presAssocID="{E61259F0-E415-4EBE-9A82-583D8793EF29}" presName="sp" presStyleCnt="0"/>
      <dgm:spPr/>
    </dgm:pt>
    <dgm:pt modelId="{BB2F675C-FA37-4569-84A9-CECDD0C17DAE}" type="pres">
      <dgm:prSet presAssocID="{3BA5B708-BBC9-40A3-802D-1E653FF80A0C}" presName="linNode" presStyleCnt="0"/>
      <dgm:spPr/>
    </dgm:pt>
    <dgm:pt modelId="{5926BBA7-E605-4E48-BC54-D2C6C670F40D}" type="pres">
      <dgm:prSet presAssocID="{3BA5B708-BBC9-40A3-802D-1E653FF80A0C}" presName="parentText" presStyleLbl="node1" presStyleIdx="4" presStyleCnt="5" custScaleX="58165">
        <dgm:presLayoutVars>
          <dgm:chMax val="1"/>
          <dgm:bulletEnabled val="1"/>
        </dgm:presLayoutVars>
      </dgm:prSet>
      <dgm:spPr/>
    </dgm:pt>
    <dgm:pt modelId="{8A5DB752-EF01-4CF8-9564-263EBC53A732}" type="pres">
      <dgm:prSet presAssocID="{3BA5B708-BBC9-40A3-802D-1E653FF80A0C}" presName="descendantText" presStyleLbl="alignAccFollowNode1" presStyleIdx="4" presStyleCnt="5" custScaleX="113176" custScaleY="124175">
        <dgm:presLayoutVars>
          <dgm:bulletEnabled val="1"/>
        </dgm:presLayoutVars>
      </dgm:prSet>
      <dgm:spPr/>
    </dgm:pt>
  </dgm:ptLst>
  <dgm:cxnLst>
    <dgm:cxn modelId="{A80B950E-B924-4887-B878-D096BD4FCE78}" srcId="{D47A3F7D-D165-4CB8-A8DC-BD2F11A5F8E3}" destId="{08175E3D-787C-4130-81D8-0A8726824806}" srcOrd="0" destOrd="0" parTransId="{5F7BD40D-98C1-45CE-AA66-01810E8EC92C}" sibTransId="{0FCFFD91-D89C-40CA-85F6-94CD75538D23}"/>
    <dgm:cxn modelId="{4F626233-E3D4-4012-AC2A-A2723EDCB6F9}" srcId="{9DFC389F-B69A-4F80-8BD8-93E76D3871A6}" destId="{C4DFD6CB-3A8A-4167-B1BE-465E37CDE101}" srcOrd="0" destOrd="0" parTransId="{3FE604AB-85AC-4DE1-B21C-F89A5B8F3A16}" sibTransId="{BA5FD4E4-DEFC-4C93-BE39-EA9B5E367B46}"/>
    <dgm:cxn modelId="{0EF11268-7AF1-4107-8B3F-1C664C7B140C}" srcId="{D47A3F7D-D165-4CB8-A8DC-BD2F11A5F8E3}" destId="{B12B00AE-5160-4176-87A6-4F89B529B361}" srcOrd="1" destOrd="0" parTransId="{0F8831A7-8183-4578-90C9-84E7E176CCF2}" sibTransId="{88CE61E7-9993-410F-927B-8481E50AABA9}"/>
    <dgm:cxn modelId="{5D525069-4CC8-43E4-9CE6-143756FB33D2}" type="presOf" srcId="{36BB6111-B0D3-4709-8F4F-2A7BC327F7DA}" destId="{8A5DB752-EF01-4CF8-9564-263EBC53A732}" srcOrd="0" destOrd="0" presId="urn:microsoft.com/office/officeart/2005/8/layout/vList5"/>
    <dgm:cxn modelId="{029B426C-2F39-4A38-ACB8-1D77E15F6927}" type="presOf" srcId="{C4DFD6CB-3A8A-4167-B1BE-465E37CDE101}" destId="{DA0E5A1B-6125-4D7C-ACBF-D88D843CD6A1}" srcOrd="0" destOrd="0" presId="urn:microsoft.com/office/officeart/2005/8/layout/vList5"/>
    <dgm:cxn modelId="{B1949C6D-A720-4AD5-8F9F-D44F87684BB0}" srcId="{D47A3F7D-D165-4CB8-A8DC-BD2F11A5F8E3}" destId="{3BA5B708-BBC9-40A3-802D-1E653FF80A0C}" srcOrd="4" destOrd="0" parTransId="{368D03EE-1675-44F6-BEBE-BC329CA91363}" sibTransId="{CA5883CC-D57E-4010-B108-C24CFD294063}"/>
    <dgm:cxn modelId="{8ACCAB71-E327-4A3D-A540-37C3E9395FFC}" type="presOf" srcId="{BB27A585-83AD-4B51-BF21-8A6AA7F31494}" destId="{32DCC505-EDA8-44A3-A517-7538BD21E2AB}" srcOrd="0" destOrd="0" presId="urn:microsoft.com/office/officeart/2005/8/layout/vList5"/>
    <dgm:cxn modelId="{8FF97453-0725-4DB3-9EB4-0D4241371F53}" type="presOf" srcId="{75E9F38C-07BC-4CD7-BAD2-5B054187C676}" destId="{90D6B42D-6D73-4997-85E4-8B07D1B9BC4C}" srcOrd="0" destOrd="0" presId="urn:microsoft.com/office/officeart/2005/8/layout/vList5"/>
    <dgm:cxn modelId="{44ECA37C-15DF-4452-B3A7-32DA6FE0D2B1}" srcId="{08175E3D-787C-4130-81D8-0A8726824806}" destId="{04FBC319-5239-4E88-8BC5-13BE61D32D5D}" srcOrd="0" destOrd="0" parTransId="{BF9C88D9-C777-4683-80F6-36BCB9F3ECBA}" sibTransId="{CC258A9A-C042-4CDB-9042-DE64542ABB27}"/>
    <dgm:cxn modelId="{84E0368A-6008-46EB-AC90-B3CABE9FF0D9}" srcId="{3BA5B708-BBC9-40A3-802D-1E653FF80A0C}" destId="{36BB6111-B0D3-4709-8F4F-2A7BC327F7DA}" srcOrd="0" destOrd="0" parTransId="{F7EB236E-3074-44CB-AD23-9798FADD065B}" sibTransId="{53BBA52F-3531-46AD-84FD-9DC7ED5AC045}"/>
    <dgm:cxn modelId="{4A55618A-CBE8-44DA-810E-5C87A399F345}" type="presOf" srcId="{3BA5B708-BBC9-40A3-802D-1E653FF80A0C}" destId="{5926BBA7-E605-4E48-BC54-D2C6C670F40D}" srcOrd="0" destOrd="0" presId="urn:microsoft.com/office/officeart/2005/8/layout/vList5"/>
    <dgm:cxn modelId="{66320F8C-F215-4081-B71F-D83F0CFEA823}" type="presOf" srcId="{08175E3D-787C-4130-81D8-0A8726824806}" destId="{3F3EEF9B-F4DE-46A6-922B-2A50593838A5}" srcOrd="0" destOrd="0" presId="urn:microsoft.com/office/officeart/2005/8/layout/vList5"/>
    <dgm:cxn modelId="{56378093-6DDB-493B-BDB4-A09C14C62FC5}" type="presOf" srcId="{04FBC319-5239-4E88-8BC5-13BE61D32D5D}" destId="{556A867A-0873-4E52-89A0-C4C46F718021}" srcOrd="0" destOrd="0" presId="urn:microsoft.com/office/officeart/2005/8/layout/vList5"/>
    <dgm:cxn modelId="{B8417296-221C-438C-B4C3-EAF2ABC7B27F}" srcId="{D47A3F7D-D165-4CB8-A8DC-BD2F11A5F8E3}" destId="{4D9C95BB-58C1-41C5-81AE-722AD46A4D22}" srcOrd="2" destOrd="0" parTransId="{900D47AB-81E7-4ACC-B977-C4FBF755B392}" sibTransId="{BE0361F8-2B9C-42BD-89D1-68C1912353D5}"/>
    <dgm:cxn modelId="{4089F9A1-3B6C-4860-B292-4E56508AD2CE}" type="presOf" srcId="{4D9C95BB-58C1-41C5-81AE-722AD46A4D22}" destId="{1A56F008-2F3A-4C52-9D5D-2CE22F27B288}" srcOrd="0" destOrd="0" presId="urn:microsoft.com/office/officeart/2005/8/layout/vList5"/>
    <dgm:cxn modelId="{97C406A3-4E12-4CB9-9F34-A03A6B0196FD}" type="presOf" srcId="{B12B00AE-5160-4176-87A6-4F89B529B361}" destId="{D20175F9-25A6-47EB-9B9D-4E7C5DC6EE38}" srcOrd="0" destOrd="0" presId="urn:microsoft.com/office/officeart/2005/8/layout/vList5"/>
    <dgm:cxn modelId="{E65BEAAD-FD4F-45B4-A7A1-C0F949DD7DC7}" srcId="{4D9C95BB-58C1-41C5-81AE-722AD46A4D22}" destId="{75E9F38C-07BC-4CD7-BAD2-5B054187C676}" srcOrd="0" destOrd="0" parTransId="{13EF9A60-DA23-4121-81F3-4C9EED55FD98}" sibTransId="{27BB0BEC-47BA-4B8F-91FF-B8CF24BF31B2}"/>
    <dgm:cxn modelId="{B70F87CA-6E02-4C1F-8B9F-F98CF0594E58}" srcId="{B12B00AE-5160-4176-87A6-4F89B529B361}" destId="{BB27A585-83AD-4B51-BF21-8A6AA7F31494}" srcOrd="0" destOrd="0" parTransId="{76E27489-91B0-493B-B579-5324E9C69615}" sibTransId="{90C1AD8E-73EF-40E7-8289-EE6DC35619D3}"/>
    <dgm:cxn modelId="{621DF6E4-E346-4832-A6F3-A2EA7A2B92D2}" type="presOf" srcId="{9DFC389F-B69A-4F80-8BD8-93E76D3871A6}" destId="{FC547D13-F2A0-47A6-B618-685E60204BCD}" srcOrd="0" destOrd="0" presId="urn:microsoft.com/office/officeart/2005/8/layout/vList5"/>
    <dgm:cxn modelId="{50FEF2F6-1BD1-4CD9-820E-77D6D370DE41}" type="presOf" srcId="{D47A3F7D-D165-4CB8-A8DC-BD2F11A5F8E3}" destId="{AC3F067B-37C5-4869-9975-53BA63B36B4B}" srcOrd="0" destOrd="0" presId="urn:microsoft.com/office/officeart/2005/8/layout/vList5"/>
    <dgm:cxn modelId="{ADBF03FA-312E-44B2-B07B-739C28158AAE}" srcId="{D47A3F7D-D165-4CB8-A8DC-BD2F11A5F8E3}" destId="{9DFC389F-B69A-4F80-8BD8-93E76D3871A6}" srcOrd="3" destOrd="0" parTransId="{2CFE703B-F99A-4F6F-8A1D-901566A03600}" sibTransId="{E61259F0-E415-4EBE-9A82-583D8793EF29}"/>
    <dgm:cxn modelId="{1ABEFAD9-957E-4D1E-903E-7C9410EE29AE}" type="presParOf" srcId="{AC3F067B-37C5-4869-9975-53BA63B36B4B}" destId="{4B336D81-BD6D-4049-9E31-BEA75FA0B3F4}" srcOrd="0" destOrd="0" presId="urn:microsoft.com/office/officeart/2005/8/layout/vList5"/>
    <dgm:cxn modelId="{6D2B88C1-B335-4AEE-9118-56DB25F5BA91}" type="presParOf" srcId="{4B336D81-BD6D-4049-9E31-BEA75FA0B3F4}" destId="{3F3EEF9B-F4DE-46A6-922B-2A50593838A5}" srcOrd="0" destOrd="0" presId="urn:microsoft.com/office/officeart/2005/8/layout/vList5"/>
    <dgm:cxn modelId="{47D9D37D-D449-4952-BBCF-2570EA36C043}" type="presParOf" srcId="{4B336D81-BD6D-4049-9E31-BEA75FA0B3F4}" destId="{556A867A-0873-4E52-89A0-C4C46F718021}" srcOrd="1" destOrd="0" presId="urn:microsoft.com/office/officeart/2005/8/layout/vList5"/>
    <dgm:cxn modelId="{5533DEE3-8F15-4F2D-BE5E-F4DAE57C2EA1}" type="presParOf" srcId="{AC3F067B-37C5-4869-9975-53BA63B36B4B}" destId="{8E72F62B-18C6-459E-9B71-AF8E9E3CE0E0}" srcOrd="1" destOrd="0" presId="urn:microsoft.com/office/officeart/2005/8/layout/vList5"/>
    <dgm:cxn modelId="{F20DC5FE-043E-4847-9261-A97B648478F1}" type="presParOf" srcId="{AC3F067B-37C5-4869-9975-53BA63B36B4B}" destId="{32AD4D0D-2D22-4976-8B42-19CD2E94FE7C}" srcOrd="2" destOrd="0" presId="urn:microsoft.com/office/officeart/2005/8/layout/vList5"/>
    <dgm:cxn modelId="{41ED4121-DF9A-4383-8464-2B3625055338}" type="presParOf" srcId="{32AD4D0D-2D22-4976-8B42-19CD2E94FE7C}" destId="{D20175F9-25A6-47EB-9B9D-4E7C5DC6EE38}" srcOrd="0" destOrd="0" presId="urn:microsoft.com/office/officeart/2005/8/layout/vList5"/>
    <dgm:cxn modelId="{E9966651-9191-4207-8B9B-03BCAD5CBB4C}" type="presParOf" srcId="{32AD4D0D-2D22-4976-8B42-19CD2E94FE7C}" destId="{32DCC505-EDA8-44A3-A517-7538BD21E2AB}" srcOrd="1" destOrd="0" presId="urn:microsoft.com/office/officeart/2005/8/layout/vList5"/>
    <dgm:cxn modelId="{A2017D08-59B3-48A0-9865-C2E48F97046E}" type="presParOf" srcId="{AC3F067B-37C5-4869-9975-53BA63B36B4B}" destId="{3C65FEC8-EC1A-4F27-BE17-C3B5F8CA78B1}" srcOrd="3" destOrd="0" presId="urn:microsoft.com/office/officeart/2005/8/layout/vList5"/>
    <dgm:cxn modelId="{CC5E44F0-2FC0-45EC-A9B6-B49B22879366}" type="presParOf" srcId="{AC3F067B-37C5-4869-9975-53BA63B36B4B}" destId="{057E3A49-A4C9-416E-87BF-B0CDCC649070}" srcOrd="4" destOrd="0" presId="urn:microsoft.com/office/officeart/2005/8/layout/vList5"/>
    <dgm:cxn modelId="{2AF35F1E-6E3C-4782-975B-10902D1D0988}" type="presParOf" srcId="{057E3A49-A4C9-416E-87BF-B0CDCC649070}" destId="{1A56F008-2F3A-4C52-9D5D-2CE22F27B288}" srcOrd="0" destOrd="0" presId="urn:microsoft.com/office/officeart/2005/8/layout/vList5"/>
    <dgm:cxn modelId="{2A373506-B28E-4149-B71C-B7BB400BB0DD}" type="presParOf" srcId="{057E3A49-A4C9-416E-87BF-B0CDCC649070}" destId="{90D6B42D-6D73-4997-85E4-8B07D1B9BC4C}" srcOrd="1" destOrd="0" presId="urn:microsoft.com/office/officeart/2005/8/layout/vList5"/>
    <dgm:cxn modelId="{63C37295-2D0F-46F7-8AA9-8DBF62AE165C}" type="presParOf" srcId="{AC3F067B-37C5-4869-9975-53BA63B36B4B}" destId="{95D308B9-1411-4284-9A15-84E4443C098F}" srcOrd="5" destOrd="0" presId="urn:microsoft.com/office/officeart/2005/8/layout/vList5"/>
    <dgm:cxn modelId="{931F003E-2938-4684-B11A-6621CAE258FA}" type="presParOf" srcId="{AC3F067B-37C5-4869-9975-53BA63B36B4B}" destId="{94B5BF81-CD57-43D2-A0EE-6D50CF763BC8}" srcOrd="6" destOrd="0" presId="urn:microsoft.com/office/officeart/2005/8/layout/vList5"/>
    <dgm:cxn modelId="{A8DCE31E-3F13-44C5-9C9E-78D9BFEDE75F}" type="presParOf" srcId="{94B5BF81-CD57-43D2-A0EE-6D50CF763BC8}" destId="{FC547D13-F2A0-47A6-B618-685E60204BCD}" srcOrd="0" destOrd="0" presId="urn:microsoft.com/office/officeart/2005/8/layout/vList5"/>
    <dgm:cxn modelId="{8152C7A2-2778-4359-9714-F62C4ABDCD52}" type="presParOf" srcId="{94B5BF81-CD57-43D2-A0EE-6D50CF763BC8}" destId="{DA0E5A1B-6125-4D7C-ACBF-D88D843CD6A1}" srcOrd="1" destOrd="0" presId="urn:microsoft.com/office/officeart/2005/8/layout/vList5"/>
    <dgm:cxn modelId="{82334DF7-BC79-4E10-8263-AA0166713784}" type="presParOf" srcId="{AC3F067B-37C5-4869-9975-53BA63B36B4B}" destId="{8402898F-8EDD-40DA-AA1D-1914790F5283}" srcOrd="7" destOrd="0" presId="urn:microsoft.com/office/officeart/2005/8/layout/vList5"/>
    <dgm:cxn modelId="{BC2374E5-AD96-4534-80B9-D45594D7E91E}" type="presParOf" srcId="{AC3F067B-37C5-4869-9975-53BA63B36B4B}" destId="{BB2F675C-FA37-4569-84A9-CECDD0C17DAE}" srcOrd="8" destOrd="0" presId="urn:microsoft.com/office/officeart/2005/8/layout/vList5"/>
    <dgm:cxn modelId="{4AA27D45-24C5-4AB9-AA3A-84ACE6904B44}" type="presParOf" srcId="{BB2F675C-FA37-4569-84A9-CECDD0C17DAE}" destId="{5926BBA7-E605-4E48-BC54-D2C6C670F40D}" srcOrd="0" destOrd="0" presId="urn:microsoft.com/office/officeart/2005/8/layout/vList5"/>
    <dgm:cxn modelId="{A8FD0423-56F8-4277-8569-E39BCCC409B4}" type="presParOf" srcId="{BB2F675C-FA37-4569-84A9-CECDD0C17DAE}" destId="{8A5DB752-EF01-4CF8-9564-263EBC53A732}"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DE7C89C-4B32-4082-AE92-91D2D676359A}" type="doc">
      <dgm:prSet loTypeId="urn:microsoft.com/office/officeart/2009/3/layout/HorizontalOrganizationChart" loCatId="hierarchy" qsTypeId="urn:microsoft.com/office/officeart/2005/8/quickstyle/3d3" qsCatId="3D" csTypeId="urn:microsoft.com/office/officeart/2005/8/colors/accent0_1" csCatId="mainScheme" phldr="1"/>
      <dgm:spPr/>
      <dgm:t>
        <a:bodyPr/>
        <a:lstStyle/>
        <a:p>
          <a:endParaRPr lang="ru-RU"/>
        </a:p>
      </dgm:t>
    </dgm:pt>
    <dgm:pt modelId="{630B0292-6628-43F0-8D43-9CE29D32CE36}">
      <dgm:prSet phldrT="[Текст]" custT="1"/>
      <dgm:spPr/>
      <dgm:t>
        <a:bodyPr/>
        <a:lstStyle/>
        <a:p>
          <a:r>
            <a:rPr lang="uk-UA" sz="1400">
              <a:latin typeface="Times New Roman" panose="02020603050405020304" pitchFamily="18" charset="0"/>
              <a:cs typeface="Times New Roman" panose="02020603050405020304" pitchFamily="18" charset="0"/>
            </a:rPr>
            <a:t>Вплив земельної ренти на добробут громадян </a:t>
          </a:r>
          <a:endParaRPr lang="ru-RU" sz="1400">
            <a:latin typeface="Times New Roman" panose="02020603050405020304" pitchFamily="18" charset="0"/>
            <a:cs typeface="Times New Roman" panose="02020603050405020304" pitchFamily="18" charset="0"/>
          </a:endParaRPr>
        </a:p>
      </dgm:t>
    </dgm:pt>
    <dgm:pt modelId="{994EC18B-CE54-4AA3-B62B-6A6B82865C1C}" type="parTrans" cxnId="{318BF495-9C6F-4833-A8C9-E5EC5FA43016}">
      <dgm:prSet/>
      <dgm:spPr/>
      <dgm:t>
        <a:bodyPr/>
        <a:lstStyle/>
        <a:p>
          <a:endParaRPr lang="ru-RU"/>
        </a:p>
      </dgm:t>
    </dgm:pt>
    <dgm:pt modelId="{28C2D01C-A453-46A7-9A48-81CB249610F9}" type="sibTrans" cxnId="{318BF495-9C6F-4833-A8C9-E5EC5FA43016}">
      <dgm:prSet/>
      <dgm:spPr/>
      <dgm:t>
        <a:bodyPr/>
        <a:lstStyle/>
        <a:p>
          <a:endParaRPr lang="ru-RU"/>
        </a:p>
      </dgm:t>
    </dgm:pt>
    <dgm:pt modelId="{8A0F3747-97D0-4469-B662-15D324E74026}">
      <dgm:prSet phldrT="[Текст]" custT="1"/>
      <dgm:spPr/>
      <dgm:t>
        <a:bodyPr/>
        <a:lstStyle/>
        <a:p>
          <a:r>
            <a:rPr lang="uk-UA" sz="1400">
              <a:latin typeface="Times New Roman" panose="02020603050405020304" pitchFamily="18" charset="0"/>
              <a:cs typeface="Times New Roman" panose="02020603050405020304" pitchFamily="18" charset="0"/>
            </a:rPr>
            <a:t>Формування державних доходів. </a:t>
          </a:r>
          <a:endParaRPr lang="ru-RU" sz="1400">
            <a:latin typeface="Times New Roman" panose="02020603050405020304" pitchFamily="18" charset="0"/>
            <a:cs typeface="Times New Roman" panose="02020603050405020304" pitchFamily="18" charset="0"/>
          </a:endParaRPr>
        </a:p>
      </dgm:t>
    </dgm:pt>
    <dgm:pt modelId="{EBF7B765-94D3-46DD-A89D-40F86C32AA6E}" type="parTrans" cxnId="{5BE1A853-B021-4625-89EC-6C652CD45D6F}">
      <dgm:prSet/>
      <dgm:spPr/>
      <dgm:t>
        <a:bodyPr/>
        <a:lstStyle/>
        <a:p>
          <a:endParaRPr lang="ru-RU"/>
        </a:p>
      </dgm:t>
    </dgm:pt>
    <dgm:pt modelId="{52DB5B0B-382A-47A6-BE26-EA9A4A9A46AF}" type="sibTrans" cxnId="{5BE1A853-B021-4625-89EC-6C652CD45D6F}">
      <dgm:prSet/>
      <dgm:spPr/>
      <dgm:t>
        <a:bodyPr/>
        <a:lstStyle/>
        <a:p>
          <a:endParaRPr lang="ru-RU"/>
        </a:p>
      </dgm:t>
    </dgm:pt>
    <dgm:pt modelId="{B040F779-942B-4F3B-8FBF-BEA1A8674799}">
      <dgm:prSet custT="1"/>
      <dgm:spPr/>
      <dgm:t>
        <a:bodyPr/>
        <a:lstStyle/>
        <a:p>
          <a:r>
            <a:rPr lang="uk-UA" sz="1400">
              <a:latin typeface="Times New Roman" panose="02020603050405020304" pitchFamily="18" charset="0"/>
              <a:cs typeface="Times New Roman" panose="02020603050405020304" pitchFamily="18" charset="0"/>
            </a:rPr>
            <a:t>Нерівномірний розподіл доходів. </a:t>
          </a:r>
        </a:p>
      </dgm:t>
    </dgm:pt>
    <dgm:pt modelId="{049075F9-62B5-47EC-9D1F-987C81103D99}" type="parTrans" cxnId="{FEDFBED7-CB7A-421C-A351-2F5AED8BA60A}">
      <dgm:prSet/>
      <dgm:spPr/>
      <dgm:t>
        <a:bodyPr/>
        <a:lstStyle/>
        <a:p>
          <a:endParaRPr lang="ru-RU"/>
        </a:p>
      </dgm:t>
    </dgm:pt>
    <dgm:pt modelId="{AF2C60E5-B57B-489A-B28D-5DC424A3CE8E}" type="sibTrans" cxnId="{FEDFBED7-CB7A-421C-A351-2F5AED8BA60A}">
      <dgm:prSet/>
      <dgm:spPr/>
      <dgm:t>
        <a:bodyPr/>
        <a:lstStyle/>
        <a:p>
          <a:endParaRPr lang="ru-RU"/>
        </a:p>
      </dgm:t>
    </dgm:pt>
    <dgm:pt modelId="{56610EFB-5A42-475B-BBA7-6925C927FD3B}">
      <dgm:prSet custT="1"/>
      <dgm:spPr/>
      <dgm:t>
        <a:bodyPr/>
        <a:lstStyle/>
        <a:p>
          <a:r>
            <a:rPr lang="uk-UA" sz="1400">
              <a:latin typeface="Times New Roman" panose="02020603050405020304" pitchFamily="18" charset="0"/>
              <a:cs typeface="Times New Roman" panose="02020603050405020304" pitchFamily="18" charset="0"/>
            </a:rPr>
            <a:t>Забезпечення продовольчої безпеки. </a:t>
          </a:r>
        </a:p>
      </dgm:t>
    </dgm:pt>
    <dgm:pt modelId="{2B78C47C-B6C2-4D9B-B535-86F1AE78EE37}" type="parTrans" cxnId="{BDB95254-06F5-42A8-9990-681C1D6017BF}">
      <dgm:prSet/>
      <dgm:spPr/>
      <dgm:t>
        <a:bodyPr/>
        <a:lstStyle/>
        <a:p>
          <a:endParaRPr lang="ru-RU"/>
        </a:p>
      </dgm:t>
    </dgm:pt>
    <dgm:pt modelId="{228B4CA9-2E36-44E4-A00A-2E0E38468C32}" type="sibTrans" cxnId="{BDB95254-06F5-42A8-9990-681C1D6017BF}">
      <dgm:prSet/>
      <dgm:spPr/>
      <dgm:t>
        <a:bodyPr/>
        <a:lstStyle/>
        <a:p>
          <a:endParaRPr lang="ru-RU"/>
        </a:p>
      </dgm:t>
    </dgm:pt>
    <dgm:pt modelId="{CC5B63A5-4C5A-4A92-BBB2-BAA619B6BC77}">
      <dgm:prSet custT="1"/>
      <dgm:spPr/>
      <dgm:t>
        <a:bodyPr/>
        <a:lstStyle/>
        <a:p>
          <a:r>
            <a:rPr lang="uk-UA" sz="1400">
              <a:latin typeface="Times New Roman" panose="02020603050405020304" pitchFamily="18" charset="0"/>
              <a:cs typeface="Times New Roman" panose="02020603050405020304" pitchFamily="18" charset="0"/>
            </a:rPr>
            <a:t>Розвиток регіонів. </a:t>
          </a:r>
        </a:p>
      </dgm:t>
    </dgm:pt>
    <dgm:pt modelId="{BA190D87-F798-4463-9A17-784515952692}" type="parTrans" cxnId="{446035F7-E1B4-4AA8-92D6-444184BD52FD}">
      <dgm:prSet/>
      <dgm:spPr/>
      <dgm:t>
        <a:bodyPr/>
        <a:lstStyle/>
        <a:p>
          <a:endParaRPr lang="ru-RU"/>
        </a:p>
      </dgm:t>
    </dgm:pt>
    <dgm:pt modelId="{D30AB63C-7BCC-4E22-ACFE-668AAD5D3B9F}" type="sibTrans" cxnId="{446035F7-E1B4-4AA8-92D6-444184BD52FD}">
      <dgm:prSet/>
      <dgm:spPr/>
      <dgm:t>
        <a:bodyPr/>
        <a:lstStyle/>
        <a:p>
          <a:endParaRPr lang="ru-RU"/>
        </a:p>
      </dgm:t>
    </dgm:pt>
    <dgm:pt modelId="{D24C756C-174B-4BBB-9BA5-BBAC92C311B2}">
      <dgm:prSet custT="1"/>
      <dgm:spPr/>
      <dgm:t>
        <a:bodyPr/>
        <a:lstStyle/>
        <a:p>
          <a:r>
            <a:rPr lang="uk-UA" sz="1400">
              <a:latin typeface="Times New Roman" panose="02020603050405020304" pitchFamily="18" charset="0"/>
              <a:cs typeface="Times New Roman" panose="02020603050405020304" pitchFamily="18" charset="0"/>
            </a:rPr>
            <a:t>Екологічний вплив. </a:t>
          </a:r>
        </a:p>
      </dgm:t>
    </dgm:pt>
    <dgm:pt modelId="{C46823EF-423F-4CA1-B0AB-D0E6560B5AE5}" type="parTrans" cxnId="{94A67056-FA9E-4AD2-9679-CFADB5CBAEF9}">
      <dgm:prSet/>
      <dgm:spPr/>
      <dgm:t>
        <a:bodyPr/>
        <a:lstStyle/>
        <a:p>
          <a:endParaRPr lang="ru-RU"/>
        </a:p>
      </dgm:t>
    </dgm:pt>
    <dgm:pt modelId="{62809A79-CC4C-48E9-89E2-05C60719F0EA}" type="sibTrans" cxnId="{94A67056-FA9E-4AD2-9679-CFADB5CBAEF9}">
      <dgm:prSet/>
      <dgm:spPr/>
      <dgm:t>
        <a:bodyPr/>
        <a:lstStyle/>
        <a:p>
          <a:endParaRPr lang="ru-RU"/>
        </a:p>
      </dgm:t>
    </dgm:pt>
    <dgm:pt modelId="{267A7DCF-FC8C-4D5A-95C3-2B6E145012C8}">
      <dgm:prSet custT="1"/>
      <dgm:spPr/>
      <dgm:t>
        <a:bodyPr/>
        <a:lstStyle/>
        <a:p>
          <a:r>
            <a:rPr lang="uk-UA" sz="1400">
              <a:latin typeface="Times New Roman" panose="02020603050405020304" pitchFamily="18" charset="0"/>
              <a:cs typeface="Times New Roman" panose="02020603050405020304" pitchFamily="18" charset="0"/>
            </a:rPr>
            <a:t>Доступ до житла. </a:t>
          </a:r>
        </a:p>
      </dgm:t>
    </dgm:pt>
    <dgm:pt modelId="{37FF3630-EBA2-46B6-B71D-73161A355557}" type="parTrans" cxnId="{9CC2FEA3-39BC-443D-89D1-DC5D6D6FD588}">
      <dgm:prSet/>
      <dgm:spPr/>
      <dgm:t>
        <a:bodyPr/>
        <a:lstStyle/>
        <a:p>
          <a:endParaRPr lang="ru-RU"/>
        </a:p>
      </dgm:t>
    </dgm:pt>
    <dgm:pt modelId="{091C7DFB-33D0-462E-9FE1-08B98BB0A453}" type="sibTrans" cxnId="{9CC2FEA3-39BC-443D-89D1-DC5D6D6FD588}">
      <dgm:prSet/>
      <dgm:spPr/>
      <dgm:t>
        <a:bodyPr/>
        <a:lstStyle/>
        <a:p>
          <a:endParaRPr lang="ru-RU"/>
        </a:p>
      </dgm:t>
    </dgm:pt>
    <dgm:pt modelId="{6D4544C0-A200-4091-BFE0-28056920D65B}">
      <dgm:prSet custT="1"/>
      <dgm:spPr/>
      <dgm:t>
        <a:bodyPr/>
        <a:lstStyle/>
        <a:p>
          <a:r>
            <a:rPr lang="uk-UA" sz="1400">
              <a:latin typeface="Times New Roman" panose="02020603050405020304" pitchFamily="18" charset="0"/>
              <a:cs typeface="Times New Roman" panose="02020603050405020304" pitchFamily="18" charset="0"/>
            </a:rPr>
            <a:t>Стимулювання економічної активності.</a:t>
          </a:r>
        </a:p>
      </dgm:t>
    </dgm:pt>
    <dgm:pt modelId="{5C9C9844-CB9D-4771-9C79-4691391BED0D}" type="parTrans" cxnId="{6BB632D5-F083-42D6-8CF1-80943AD1C6CB}">
      <dgm:prSet/>
      <dgm:spPr/>
      <dgm:t>
        <a:bodyPr/>
        <a:lstStyle/>
        <a:p>
          <a:endParaRPr lang="ru-RU"/>
        </a:p>
      </dgm:t>
    </dgm:pt>
    <dgm:pt modelId="{46B6BEDB-7B8F-49D4-954F-210615A8E272}" type="sibTrans" cxnId="{6BB632D5-F083-42D6-8CF1-80943AD1C6CB}">
      <dgm:prSet/>
      <dgm:spPr/>
      <dgm:t>
        <a:bodyPr/>
        <a:lstStyle/>
        <a:p>
          <a:endParaRPr lang="ru-RU"/>
        </a:p>
      </dgm:t>
    </dgm:pt>
    <dgm:pt modelId="{74BF3420-5332-4696-AF73-2D3C1940C69A}" type="pres">
      <dgm:prSet presAssocID="{5DE7C89C-4B32-4082-AE92-91D2D676359A}" presName="hierChild1" presStyleCnt="0">
        <dgm:presLayoutVars>
          <dgm:orgChart val="1"/>
          <dgm:chPref val="1"/>
          <dgm:dir/>
          <dgm:animOne val="branch"/>
          <dgm:animLvl val="lvl"/>
          <dgm:resizeHandles/>
        </dgm:presLayoutVars>
      </dgm:prSet>
      <dgm:spPr/>
    </dgm:pt>
    <dgm:pt modelId="{3072B0BD-0C56-461C-B1E6-BDFEE061F13A}" type="pres">
      <dgm:prSet presAssocID="{630B0292-6628-43F0-8D43-9CE29D32CE36}" presName="hierRoot1" presStyleCnt="0">
        <dgm:presLayoutVars>
          <dgm:hierBranch val="init"/>
        </dgm:presLayoutVars>
      </dgm:prSet>
      <dgm:spPr/>
    </dgm:pt>
    <dgm:pt modelId="{57D69B58-5C10-4F71-B116-5C75CEABEDE7}" type="pres">
      <dgm:prSet presAssocID="{630B0292-6628-43F0-8D43-9CE29D32CE36}" presName="rootComposite1" presStyleCnt="0"/>
      <dgm:spPr/>
    </dgm:pt>
    <dgm:pt modelId="{D94C2C1A-1FD6-4A94-9177-B9EE3CE7E65B}" type="pres">
      <dgm:prSet presAssocID="{630B0292-6628-43F0-8D43-9CE29D32CE36}" presName="rootText1" presStyleLbl="node0" presStyleIdx="0" presStyleCnt="1" custScaleX="164813" custScaleY="281101">
        <dgm:presLayoutVars>
          <dgm:chPref val="3"/>
        </dgm:presLayoutVars>
      </dgm:prSet>
      <dgm:spPr/>
    </dgm:pt>
    <dgm:pt modelId="{5649E025-4A09-4361-A2AC-63BF4F3BB0EE}" type="pres">
      <dgm:prSet presAssocID="{630B0292-6628-43F0-8D43-9CE29D32CE36}" presName="rootConnector1" presStyleLbl="node1" presStyleIdx="0" presStyleCnt="0"/>
      <dgm:spPr/>
    </dgm:pt>
    <dgm:pt modelId="{557282E1-8ABA-4876-B45E-36226BD23BF5}" type="pres">
      <dgm:prSet presAssocID="{630B0292-6628-43F0-8D43-9CE29D32CE36}" presName="hierChild2" presStyleCnt="0"/>
      <dgm:spPr/>
    </dgm:pt>
    <dgm:pt modelId="{C2D51CDA-A178-488E-8B97-1621825D100E}" type="pres">
      <dgm:prSet presAssocID="{EBF7B765-94D3-46DD-A89D-40F86C32AA6E}" presName="Name64" presStyleLbl="parChTrans1D2" presStyleIdx="0" presStyleCnt="7"/>
      <dgm:spPr/>
    </dgm:pt>
    <dgm:pt modelId="{3D591B7D-4E4C-4F92-BCAE-3CD75F40DA27}" type="pres">
      <dgm:prSet presAssocID="{8A0F3747-97D0-4469-B662-15D324E74026}" presName="hierRoot2" presStyleCnt="0">
        <dgm:presLayoutVars>
          <dgm:hierBranch val="init"/>
        </dgm:presLayoutVars>
      </dgm:prSet>
      <dgm:spPr/>
    </dgm:pt>
    <dgm:pt modelId="{495F4091-4797-448E-AD40-03560B317EB7}" type="pres">
      <dgm:prSet presAssocID="{8A0F3747-97D0-4469-B662-15D324E74026}" presName="rootComposite" presStyleCnt="0"/>
      <dgm:spPr/>
    </dgm:pt>
    <dgm:pt modelId="{C4EF671D-A26D-45C0-85E4-588CD59DFD74}" type="pres">
      <dgm:prSet presAssocID="{8A0F3747-97D0-4469-B662-15D324E74026}" presName="rootText" presStyleLbl="node2" presStyleIdx="0" presStyleCnt="7" custScaleX="327217" custScaleY="128801">
        <dgm:presLayoutVars>
          <dgm:chPref val="3"/>
        </dgm:presLayoutVars>
      </dgm:prSet>
      <dgm:spPr/>
    </dgm:pt>
    <dgm:pt modelId="{0D596A03-3671-4F67-B1F0-F52BFBDBE3D9}" type="pres">
      <dgm:prSet presAssocID="{8A0F3747-97D0-4469-B662-15D324E74026}" presName="rootConnector" presStyleLbl="node2" presStyleIdx="0" presStyleCnt="7"/>
      <dgm:spPr/>
    </dgm:pt>
    <dgm:pt modelId="{D04AC82C-6E9C-4B61-A7C3-D24D5D80F0F1}" type="pres">
      <dgm:prSet presAssocID="{8A0F3747-97D0-4469-B662-15D324E74026}" presName="hierChild4" presStyleCnt="0"/>
      <dgm:spPr/>
    </dgm:pt>
    <dgm:pt modelId="{B29364D9-FAFA-41CD-871D-36C0BC9345B4}" type="pres">
      <dgm:prSet presAssocID="{8A0F3747-97D0-4469-B662-15D324E74026}" presName="hierChild5" presStyleCnt="0"/>
      <dgm:spPr/>
    </dgm:pt>
    <dgm:pt modelId="{BF87ACE1-FBCC-4785-ADD0-9989B43CF768}" type="pres">
      <dgm:prSet presAssocID="{049075F9-62B5-47EC-9D1F-987C81103D99}" presName="Name64" presStyleLbl="parChTrans1D2" presStyleIdx="1" presStyleCnt="7"/>
      <dgm:spPr/>
    </dgm:pt>
    <dgm:pt modelId="{FCB052F1-FB94-4646-93CB-79479422E326}" type="pres">
      <dgm:prSet presAssocID="{B040F779-942B-4F3B-8FBF-BEA1A8674799}" presName="hierRoot2" presStyleCnt="0">
        <dgm:presLayoutVars>
          <dgm:hierBranch val="init"/>
        </dgm:presLayoutVars>
      </dgm:prSet>
      <dgm:spPr/>
    </dgm:pt>
    <dgm:pt modelId="{DEEB42A9-EF54-41FB-8D3B-3A167EDD81DD}" type="pres">
      <dgm:prSet presAssocID="{B040F779-942B-4F3B-8FBF-BEA1A8674799}" presName="rootComposite" presStyleCnt="0"/>
      <dgm:spPr/>
    </dgm:pt>
    <dgm:pt modelId="{56445D74-BB4E-4831-88F7-B7C54217E899}" type="pres">
      <dgm:prSet presAssocID="{B040F779-942B-4F3B-8FBF-BEA1A8674799}" presName="rootText" presStyleLbl="node2" presStyleIdx="1" presStyleCnt="7" custScaleX="327217" custScaleY="128801">
        <dgm:presLayoutVars>
          <dgm:chPref val="3"/>
        </dgm:presLayoutVars>
      </dgm:prSet>
      <dgm:spPr/>
    </dgm:pt>
    <dgm:pt modelId="{E7DE9396-E2B6-40D0-BF03-1B5BE4C909D4}" type="pres">
      <dgm:prSet presAssocID="{B040F779-942B-4F3B-8FBF-BEA1A8674799}" presName="rootConnector" presStyleLbl="node2" presStyleIdx="1" presStyleCnt="7"/>
      <dgm:spPr/>
    </dgm:pt>
    <dgm:pt modelId="{36F042ED-C635-4C0F-80C0-A77775FAB7BF}" type="pres">
      <dgm:prSet presAssocID="{B040F779-942B-4F3B-8FBF-BEA1A8674799}" presName="hierChild4" presStyleCnt="0"/>
      <dgm:spPr/>
    </dgm:pt>
    <dgm:pt modelId="{C1EA9D89-0B84-4976-89B4-848BB85F4CF2}" type="pres">
      <dgm:prSet presAssocID="{B040F779-942B-4F3B-8FBF-BEA1A8674799}" presName="hierChild5" presStyleCnt="0"/>
      <dgm:spPr/>
    </dgm:pt>
    <dgm:pt modelId="{E6028255-3607-42E1-A40F-620578C4851C}" type="pres">
      <dgm:prSet presAssocID="{2B78C47C-B6C2-4D9B-B535-86F1AE78EE37}" presName="Name64" presStyleLbl="parChTrans1D2" presStyleIdx="2" presStyleCnt="7"/>
      <dgm:spPr/>
    </dgm:pt>
    <dgm:pt modelId="{7E4BBE7D-A859-46A8-B9DE-9AFC0D3545DC}" type="pres">
      <dgm:prSet presAssocID="{56610EFB-5A42-475B-BBA7-6925C927FD3B}" presName="hierRoot2" presStyleCnt="0">
        <dgm:presLayoutVars>
          <dgm:hierBranch val="init"/>
        </dgm:presLayoutVars>
      </dgm:prSet>
      <dgm:spPr/>
    </dgm:pt>
    <dgm:pt modelId="{05A4E37A-CA9C-404F-9907-84596713CFA4}" type="pres">
      <dgm:prSet presAssocID="{56610EFB-5A42-475B-BBA7-6925C927FD3B}" presName="rootComposite" presStyleCnt="0"/>
      <dgm:spPr/>
    </dgm:pt>
    <dgm:pt modelId="{1B57458D-E072-4C28-A71E-FF2BEFA14F7D}" type="pres">
      <dgm:prSet presAssocID="{56610EFB-5A42-475B-BBA7-6925C927FD3B}" presName="rootText" presStyleLbl="node2" presStyleIdx="2" presStyleCnt="7" custScaleX="327217" custScaleY="128801">
        <dgm:presLayoutVars>
          <dgm:chPref val="3"/>
        </dgm:presLayoutVars>
      </dgm:prSet>
      <dgm:spPr/>
    </dgm:pt>
    <dgm:pt modelId="{9760C179-759A-46E1-9D78-F17D7A9A0F90}" type="pres">
      <dgm:prSet presAssocID="{56610EFB-5A42-475B-BBA7-6925C927FD3B}" presName="rootConnector" presStyleLbl="node2" presStyleIdx="2" presStyleCnt="7"/>
      <dgm:spPr/>
    </dgm:pt>
    <dgm:pt modelId="{ADF9E31E-7367-4488-B408-DA94743E1E8F}" type="pres">
      <dgm:prSet presAssocID="{56610EFB-5A42-475B-BBA7-6925C927FD3B}" presName="hierChild4" presStyleCnt="0"/>
      <dgm:spPr/>
    </dgm:pt>
    <dgm:pt modelId="{DE58E361-39E1-462F-9320-D80FFA501136}" type="pres">
      <dgm:prSet presAssocID="{56610EFB-5A42-475B-BBA7-6925C927FD3B}" presName="hierChild5" presStyleCnt="0"/>
      <dgm:spPr/>
    </dgm:pt>
    <dgm:pt modelId="{CADCB901-7EE4-42DC-94E5-EAB501EA0D65}" type="pres">
      <dgm:prSet presAssocID="{BA190D87-F798-4463-9A17-784515952692}" presName="Name64" presStyleLbl="parChTrans1D2" presStyleIdx="3" presStyleCnt="7"/>
      <dgm:spPr/>
    </dgm:pt>
    <dgm:pt modelId="{E5E82A82-2FE5-4996-8813-F5052F6A3C56}" type="pres">
      <dgm:prSet presAssocID="{CC5B63A5-4C5A-4A92-BBB2-BAA619B6BC77}" presName="hierRoot2" presStyleCnt="0">
        <dgm:presLayoutVars>
          <dgm:hierBranch val="init"/>
        </dgm:presLayoutVars>
      </dgm:prSet>
      <dgm:spPr/>
    </dgm:pt>
    <dgm:pt modelId="{52768271-407A-4215-A632-49291BBC97E5}" type="pres">
      <dgm:prSet presAssocID="{CC5B63A5-4C5A-4A92-BBB2-BAA619B6BC77}" presName="rootComposite" presStyleCnt="0"/>
      <dgm:spPr/>
    </dgm:pt>
    <dgm:pt modelId="{0FFF32F7-461B-4E91-A476-C3BA0C8CC119}" type="pres">
      <dgm:prSet presAssocID="{CC5B63A5-4C5A-4A92-BBB2-BAA619B6BC77}" presName="rootText" presStyleLbl="node2" presStyleIdx="3" presStyleCnt="7" custScaleX="327217" custScaleY="128801">
        <dgm:presLayoutVars>
          <dgm:chPref val="3"/>
        </dgm:presLayoutVars>
      </dgm:prSet>
      <dgm:spPr/>
    </dgm:pt>
    <dgm:pt modelId="{1866BA80-4250-4191-9643-9E0447B451CD}" type="pres">
      <dgm:prSet presAssocID="{CC5B63A5-4C5A-4A92-BBB2-BAA619B6BC77}" presName="rootConnector" presStyleLbl="node2" presStyleIdx="3" presStyleCnt="7"/>
      <dgm:spPr/>
    </dgm:pt>
    <dgm:pt modelId="{2CD4F453-5C1C-4128-917A-A687F1992539}" type="pres">
      <dgm:prSet presAssocID="{CC5B63A5-4C5A-4A92-BBB2-BAA619B6BC77}" presName="hierChild4" presStyleCnt="0"/>
      <dgm:spPr/>
    </dgm:pt>
    <dgm:pt modelId="{FADB1B2A-3EF1-48BB-8FDA-0E7081EB6AC7}" type="pres">
      <dgm:prSet presAssocID="{CC5B63A5-4C5A-4A92-BBB2-BAA619B6BC77}" presName="hierChild5" presStyleCnt="0"/>
      <dgm:spPr/>
    </dgm:pt>
    <dgm:pt modelId="{D2585AB6-A6C0-4B20-9E43-A8231546C255}" type="pres">
      <dgm:prSet presAssocID="{C46823EF-423F-4CA1-B0AB-D0E6560B5AE5}" presName="Name64" presStyleLbl="parChTrans1D2" presStyleIdx="4" presStyleCnt="7"/>
      <dgm:spPr/>
    </dgm:pt>
    <dgm:pt modelId="{6BFA97CA-996C-42DE-8789-B35FCD85BC2F}" type="pres">
      <dgm:prSet presAssocID="{D24C756C-174B-4BBB-9BA5-BBAC92C311B2}" presName="hierRoot2" presStyleCnt="0">
        <dgm:presLayoutVars>
          <dgm:hierBranch val="init"/>
        </dgm:presLayoutVars>
      </dgm:prSet>
      <dgm:spPr/>
    </dgm:pt>
    <dgm:pt modelId="{4905B54B-54BD-456C-B59C-35DDEEAE7B5A}" type="pres">
      <dgm:prSet presAssocID="{D24C756C-174B-4BBB-9BA5-BBAC92C311B2}" presName="rootComposite" presStyleCnt="0"/>
      <dgm:spPr/>
    </dgm:pt>
    <dgm:pt modelId="{D3A1CFB9-7656-4D36-A3EB-38DD07950428}" type="pres">
      <dgm:prSet presAssocID="{D24C756C-174B-4BBB-9BA5-BBAC92C311B2}" presName="rootText" presStyleLbl="node2" presStyleIdx="4" presStyleCnt="7" custScaleX="327217" custScaleY="128801">
        <dgm:presLayoutVars>
          <dgm:chPref val="3"/>
        </dgm:presLayoutVars>
      </dgm:prSet>
      <dgm:spPr/>
    </dgm:pt>
    <dgm:pt modelId="{5D50AB2E-03C7-4610-8CD1-90097D2C34E1}" type="pres">
      <dgm:prSet presAssocID="{D24C756C-174B-4BBB-9BA5-BBAC92C311B2}" presName="rootConnector" presStyleLbl="node2" presStyleIdx="4" presStyleCnt="7"/>
      <dgm:spPr/>
    </dgm:pt>
    <dgm:pt modelId="{038A3210-BF4E-4AAB-B130-7B221828816F}" type="pres">
      <dgm:prSet presAssocID="{D24C756C-174B-4BBB-9BA5-BBAC92C311B2}" presName="hierChild4" presStyleCnt="0"/>
      <dgm:spPr/>
    </dgm:pt>
    <dgm:pt modelId="{3164DBBE-6C71-4C8B-BD40-5AEE6023CCDC}" type="pres">
      <dgm:prSet presAssocID="{D24C756C-174B-4BBB-9BA5-BBAC92C311B2}" presName="hierChild5" presStyleCnt="0"/>
      <dgm:spPr/>
    </dgm:pt>
    <dgm:pt modelId="{DCDCEF10-3DEE-4F5B-9474-A2FD699A518C}" type="pres">
      <dgm:prSet presAssocID="{37FF3630-EBA2-46B6-B71D-73161A355557}" presName="Name64" presStyleLbl="parChTrans1D2" presStyleIdx="5" presStyleCnt="7"/>
      <dgm:spPr/>
    </dgm:pt>
    <dgm:pt modelId="{ED724C8C-CCB5-4026-B409-5A49992FB528}" type="pres">
      <dgm:prSet presAssocID="{267A7DCF-FC8C-4D5A-95C3-2B6E145012C8}" presName="hierRoot2" presStyleCnt="0">
        <dgm:presLayoutVars>
          <dgm:hierBranch val="init"/>
        </dgm:presLayoutVars>
      </dgm:prSet>
      <dgm:spPr/>
    </dgm:pt>
    <dgm:pt modelId="{01E6D065-FC85-477C-9018-24731CE1189C}" type="pres">
      <dgm:prSet presAssocID="{267A7DCF-FC8C-4D5A-95C3-2B6E145012C8}" presName="rootComposite" presStyleCnt="0"/>
      <dgm:spPr/>
    </dgm:pt>
    <dgm:pt modelId="{FEE67F8B-ED1E-4D42-BBA2-9D1C9EBDE86B}" type="pres">
      <dgm:prSet presAssocID="{267A7DCF-FC8C-4D5A-95C3-2B6E145012C8}" presName="rootText" presStyleLbl="node2" presStyleIdx="5" presStyleCnt="7" custScaleX="327217" custScaleY="128801">
        <dgm:presLayoutVars>
          <dgm:chPref val="3"/>
        </dgm:presLayoutVars>
      </dgm:prSet>
      <dgm:spPr/>
    </dgm:pt>
    <dgm:pt modelId="{0349CB04-9B7B-4DAD-86D4-032F468427A5}" type="pres">
      <dgm:prSet presAssocID="{267A7DCF-FC8C-4D5A-95C3-2B6E145012C8}" presName="rootConnector" presStyleLbl="node2" presStyleIdx="5" presStyleCnt="7"/>
      <dgm:spPr/>
    </dgm:pt>
    <dgm:pt modelId="{61AE46C0-CBA4-44D0-B8F0-E497BB93D14C}" type="pres">
      <dgm:prSet presAssocID="{267A7DCF-FC8C-4D5A-95C3-2B6E145012C8}" presName="hierChild4" presStyleCnt="0"/>
      <dgm:spPr/>
    </dgm:pt>
    <dgm:pt modelId="{D3BA834D-2D69-4788-930E-187A0C6AB4F6}" type="pres">
      <dgm:prSet presAssocID="{267A7DCF-FC8C-4D5A-95C3-2B6E145012C8}" presName="hierChild5" presStyleCnt="0"/>
      <dgm:spPr/>
    </dgm:pt>
    <dgm:pt modelId="{8C240473-B12C-41FB-999D-BFC1A9C2C3EC}" type="pres">
      <dgm:prSet presAssocID="{5C9C9844-CB9D-4771-9C79-4691391BED0D}" presName="Name64" presStyleLbl="parChTrans1D2" presStyleIdx="6" presStyleCnt="7"/>
      <dgm:spPr/>
    </dgm:pt>
    <dgm:pt modelId="{304804A2-365E-4F31-B8D2-B0B253404F51}" type="pres">
      <dgm:prSet presAssocID="{6D4544C0-A200-4091-BFE0-28056920D65B}" presName="hierRoot2" presStyleCnt="0">
        <dgm:presLayoutVars>
          <dgm:hierBranch val="init"/>
        </dgm:presLayoutVars>
      </dgm:prSet>
      <dgm:spPr/>
    </dgm:pt>
    <dgm:pt modelId="{16A0867D-2061-4E46-B442-F15B2392EF3F}" type="pres">
      <dgm:prSet presAssocID="{6D4544C0-A200-4091-BFE0-28056920D65B}" presName="rootComposite" presStyleCnt="0"/>
      <dgm:spPr/>
    </dgm:pt>
    <dgm:pt modelId="{394DC682-ABC9-4BF1-8F61-EBCA8F9225D9}" type="pres">
      <dgm:prSet presAssocID="{6D4544C0-A200-4091-BFE0-28056920D65B}" presName="rootText" presStyleLbl="node2" presStyleIdx="6" presStyleCnt="7" custScaleX="327217" custScaleY="128801">
        <dgm:presLayoutVars>
          <dgm:chPref val="3"/>
        </dgm:presLayoutVars>
      </dgm:prSet>
      <dgm:spPr/>
    </dgm:pt>
    <dgm:pt modelId="{0982B354-4D88-4113-88D6-B7EFF9EF2EBC}" type="pres">
      <dgm:prSet presAssocID="{6D4544C0-A200-4091-BFE0-28056920D65B}" presName="rootConnector" presStyleLbl="node2" presStyleIdx="6" presStyleCnt="7"/>
      <dgm:spPr/>
    </dgm:pt>
    <dgm:pt modelId="{99037B09-F904-4DA5-A95B-BDEA0A4EF40D}" type="pres">
      <dgm:prSet presAssocID="{6D4544C0-A200-4091-BFE0-28056920D65B}" presName="hierChild4" presStyleCnt="0"/>
      <dgm:spPr/>
    </dgm:pt>
    <dgm:pt modelId="{672CF41B-7A65-4675-AAAC-AF04A9EF5259}" type="pres">
      <dgm:prSet presAssocID="{6D4544C0-A200-4091-BFE0-28056920D65B}" presName="hierChild5" presStyleCnt="0"/>
      <dgm:spPr/>
    </dgm:pt>
    <dgm:pt modelId="{2FA8656A-3755-4888-88CE-F55256259514}" type="pres">
      <dgm:prSet presAssocID="{630B0292-6628-43F0-8D43-9CE29D32CE36}" presName="hierChild3" presStyleCnt="0"/>
      <dgm:spPr/>
    </dgm:pt>
  </dgm:ptLst>
  <dgm:cxnLst>
    <dgm:cxn modelId="{47A68A05-26E1-4CB6-B28F-0693ED11EAF4}" type="presOf" srcId="{56610EFB-5A42-475B-BBA7-6925C927FD3B}" destId="{9760C179-759A-46E1-9D78-F17D7A9A0F90}" srcOrd="1" destOrd="0" presId="urn:microsoft.com/office/officeart/2009/3/layout/HorizontalOrganizationChart"/>
    <dgm:cxn modelId="{5FF0740E-5251-47C5-9841-26F0EA6CE1FD}" type="presOf" srcId="{630B0292-6628-43F0-8D43-9CE29D32CE36}" destId="{5649E025-4A09-4361-A2AC-63BF4F3BB0EE}" srcOrd="1" destOrd="0" presId="urn:microsoft.com/office/officeart/2009/3/layout/HorizontalOrganizationChart"/>
    <dgm:cxn modelId="{0FCA9E12-4DF7-495C-A255-07C269A8E90B}" type="presOf" srcId="{BA190D87-F798-4463-9A17-784515952692}" destId="{CADCB901-7EE4-42DC-94E5-EAB501EA0D65}" srcOrd="0" destOrd="0" presId="urn:microsoft.com/office/officeart/2009/3/layout/HorizontalOrganizationChart"/>
    <dgm:cxn modelId="{B5163B1E-4002-4FFF-B02B-4B4BA11E636C}" type="presOf" srcId="{8A0F3747-97D0-4469-B662-15D324E74026}" destId="{0D596A03-3671-4F67-B1F0-F52BFBDBE3D9}" srcOrd="1" destOrd="0" presId="urn:microsoft.com/office/officeart/2009/3/layout/HorizontalOrganizationChart"/>
    <dgm:cxn modelId="{1490B92A-CB35-4C4C-9D2A-EEB4DBE3F1ED}" type="presOf" srcId="{8A0F3747-97D0-4469-B662-15D324E74026}" destId="{C4EF671D-A26D-45C0-85E4-588CD59DFD74}" srcOrd="0" destOrd="0" presId="urn:microsoft.com/office/officeart/2009/3/layout/HorizontalOrganizationChart"/>
    <dgm:cxn modelId="{0AF1D02A-BBF6-419C-94CB-883B0083949B}" type="presOf" srcId="{EBF7B765-94D3-46DD-A89D-40F86C32AA6E}" destId="{C2D51CDA-A178-488E-8B97-1621825D100E}" srcOrd="0" destOrd="0" presId="urn:microsoft.com/office/officeart/2009/3/layout/HorizontalOrganizationChart"/>
    <dgm:cxn modelId="{BE457D30-F14D-4C3B-9F19-B34180224430}" type="presOf" srcId="{CC5B63A5-4C5A-4A92-BBB2-BAA619B6BC77}" destId="{1866BA80-4250-4191-9643-9E0447B451CD}" srcOrd="1" destOrd="0" presId="urn:microsoft.com/office/officeart/2009/3/layout/HorizontalOrganizationChart"/>
    <dgm:cxn modelId="{83F7AF39-6D51-44DB-A425-60BFB74A85A4}" type="presOf" srcId="{37FF3630-EBA2-46B6-B71D-73161A355557}" destId="{DCDCEF10-3DEE-4F5B-9474-A2FD699A518C}" srcOrd="0" destOrd="0" presId="urn:microsoft.com/office/officeart/2009/3/layout/HorizontalOrganizationChart"/>
    <dgm:cxn modelId="{2C41F939-64E9-471A-BC7A-D0F39B67AA32}" type="presOf" srcId="{D24C756C-174B-4BBB-9BA5-BBAC92C311B2}" destId="{5D50AB2E-03C7-4610-8CD1-90097D2C34E1}" srcOrd="1" destOrd="0" presId="urn:microsoft.com/office/officeart/2009/3/layout/HorizontalOrganizationChart"/>
    <dgm:cxn modelId="{49732D3C-0C6E-4602-86DF-1F2C37CCD49F}" type="presOf" srcId="{D24C756C-174B-4BBB-9BA5-BBAC92C311B2}" destId="{D3A1CFB9-7656-4D36-A3EB-38DD07950428}" srcOrd="0" destOrd="0" presId="urn:microsoft.com/office/officeart/2009/3/layout/HorizontalOrganizationChart"/>
    <dgm:cxn modelId="{05476A41-5939-4E9A-9145-69AE5ABF73BA}" type="presOf" srcId="{630B0292-6628-43F0-8D43-9CE29D32CE36}" destId="{D94C2C1A-1FD6-4A94-9177-B9EE3CE7E65B}" srcOrd="0" destOrd="0" presId="urn:microsoft.com/office/officeart/2009/3/layout/HorizontalOrganizationChart"/>
    <dgm:cxn modelId="{657B3563-F02A-4E8E-831A-E8E817368E2E}" type="presOf" srcId="{5DE7C89C-4B32-4082-AE92-91D2D676359A}" destId="{74BF3420-5332-4696-AF73-2D3C1940C69A}" srcOrd="0" destOrd="0" presId="urn:microsoft.com/office/officeart/2009/3/layout/HorizontalOrganizationChart"/>
    <dgm:cxn modelId="{B5970967-04BD-41E9-9A09-074AF04E2959}" type="presOf" srcId="{C46823EF-423F-4CA1-B0AB-D0E6560B5AE5}" destId="{D2585AB6-A6C0-4B20-9E43-A8231546C255}" srcOrd="0" destOrd="0" presId="urn:microsoft.com/office/officeart/2009/3/layout/HorizontalOrganizationChart"/>
    <dgm:cxn modelId="{F0A3BA47-07E3-428F-847E-B4B266F0C7C6}" type="presOf" srcId="{B040F779-942B-4F3B-8FBF-BEA1A8674799}" destId="{E7DE9396-E2B6-40D0-BF03-1B5BE4C909D4}" srcOrd="1" destOrd="0" presId="urn:microsoft.com/office/officeart/2009/3/layout/HorizontalOrganizationChart"/>
    <dgm:cxn modelId="{5BE1A853-B021-4625-89EC-6C652CD45D6F}" srcId="{630B0292-6628-43F0-8D43-9CE29D32CE36}" destId="{8A0F3747-97D0-4469-B662-15D324E74026}" srcOrd="0" destOrd="0" parTransId="{EBF7B765-94D3-46DD-A89D-40F86C32AA6E}" sibTransId="{52DB5B0B-382A-47A6-BE26-EA9A4A9A46AF}"/>
    <dgm:cxn modelId="{BDB95254-06F5-42A8-9990-681C1D6017BF}" srcId="{630B0292-6628-43F0-8D43-9CE29D32CE36}" destId="{56610EFB-5A42-475B-BBA7-6925C927FD3B}" srcOrd="2" destOrd="0" parTransId="{2B78C47C-B6C2-4D9B-B535-86F1AE78EE37}" sibTransId="{228B4CA9-2E36-44E4-A00A-2E0E38468C32}"/>
    <dgm:cxn modelId="{94A67056-FA9E-4AD2-9679-CFADB5CBAEF9}" srcId="{630B0292-6628-43F0-8D43-9CE29D32CE36}" destId="{D24C756C-174B-4BBB-9BA5-BBAC92C311B2}" srcOrd="4" destOrd="0" parTransId="{C46823EF-423F-4CA1-B0AB-D0E6560B5AE5}" sibTransId="{62809A79-CC4C-48E9-89E2-05C60719F0EA}"/>
    <dgm:cxn modelId="{4BCC7779-88A0-41AD-B12F-EA2AC944BADD}" type="presOf" srcId="{2B78C47C-B6C2-4D9B-B535-86F1AE78EE37}" destId="{E6028255-3607-42E1-A40F-620578C4851C}" srcOrd="0" destOrd="0" presId="urn:microsoft.com/office/officeart/2009/3/layout/HorizontalOrganizationChart"/>
    <dgm:cxn modelId="{A86A4A7D-E0B9-4A22-B7AE-4193A00DDDC2}" type="presOf" srcId="{6D4544C0-A200-4091-BFE0-28056920D65B}" destId="{0982B354-4D88-4113-88D6-B7EFF9EF2EBC}" srcOrd="1" destOrd="0" presId="urn:microsoft.com/office/officeart/2009/3/layout/HorizontalOrganizationChart"/>
    <dgm:cxn modelId="{F07D8787-7271-4548-95D4-F22CF2623984}" type="presOf" srcId="{CC5B63A5-4C5A-4A92-BBB2-BAA619B6BC77}" destId="{0FFF32F7-461B-4E91-A476-C3BA0C8CC119}" srcOrd="0" destOrd="0" presId="urn:microsoft.com/office/officeart/2009/3/layout/HorizontalOrganizationChart"/>
    <dgm:cxn modelId="{A3BCFE8C-3482-4114-9C52-7FB1F76F679E}" type="presOf" srcId="{56610EFB-5A42-475B-BBA7-6925C927FD3B}" destId="{1B57458D-E072-4C28-A71E-FF2BEFA14F7D}" srcOrd="0" destOrd="0" presId="urn:microsoft.com/office/officeart/2009/3/layout/HorizontalOrganizationChart"/>
    <dgm:cxn modelId="{318BF495-9C6F-4833-A8C9-E5EC5FA43016}" srcId="{5DE7C89C-4B32-4082-AE92-91D2D676359A}" destId="{630B0292-6628-43F0-8D43-9CE29D32CE36}" srcOrd="0" destOrd="0" parTransId="{994EC18B-CE54-4AA3-B62B-6A6B82865C1C}" sibTransId="{28C2D01C-A453-46A7-9A48-81CB249610F9}"/>
    <dgm:cxn modelId="{9CC2FEA3-39BC-443D-89D1-DC5D6D6FD588}" srcId="{630B0292-6628-43F0-8D43-9CE29D32CE36}" destId="{267A7DCF-FC8C-4D5A-95C3-2B6E145012C8}" srcOrd="5" destOrd="0" parTransId="{37FF3630-EBA2-46B6-B71D-73161A355557}" sibTransId="{091C7DFB-33D0-462E-9FE1-08B98BB0A453}"/>
    <dgm:cxn modelId="{62E49FAB-AC8A-4BCF-95AD-C03665F652BA}" type="presOf" srcId="{267A7DCF-FC8C-4D5A-95C3-2B6E145012C8}" destId="{FEE67F8B-ED1E-4D42-BBA2-9D1C9EBDE86B}" srcOrd="0" destOrd="0" presId="urn:microsoft.com/office/officeart/2009/3/layout/HorizontalOrganizationChart"/>
    <dgm:cxn modelId="{29199AB4-42EC-45E6-97AD-4D9776FA6811}" type="presOf" srcId="{6D4544C0-A200-4091-BFE0-28056920D65B}" destId="{394DC682-ABC9-4BF1-8F61-EBCA8F9225D9}" srcOrd="0" destOrd="0" presId="urn:microsoft.com/office/officeart/2009/3/layout/HorizontalOrganizationChart"/>
    <dgm:cxn modelId="{D2AC8CBF-C6BB-46BA-AAE9-F0484E0E45E2}" type="presOf" srcId="{B040F779-942B-4F3B-8FBF-BEA1A8674799}" destId="{56445D74-BB4E-4831-88F7-B7C54217E899}" srcOrd="0" destOrd="0" presId="urn:microsoft.com/office/officeart/2009/3/layout/HorizontalOrganizationChart"/>
    <dgm:cxn modelId="{6BB632D5-F083-42D6-8CF1-80943AD1C6CB}" srcId="{630B0292-6628-43F0-8D43-9CE29D32CE36}" destId="{6D4544C0-A200-4091-BFE0-28056920D65B}" srcOrd="6" destOrd="0" parTransId="{5C9C9844-CB9D-4771-9C79-4691391BED0D}" sibTransId="{46B6BEDB-7B8F-49D4-954F-210615A8E272}"/>
    <dgm:cxn modelId="{FEDFBED7-CB7A-421C-A351-2F5AED8BA60A}" srcId="{630B0292-6628-43F0-8D43-9CE29D32CE36}" destId="{B040F779-942B-4F3B-8FBF-BEA1A8674799}" srcOrd="1" destOrd="0" parTransId="{049075F9-62B5-47EC-9D1F-987C81103D99}" sibTransId="{AF2C60E5-B57B-489A-B28D-5DC424A3CE8E}"/>
    <dgm:cxn modelId="{D74D01DB-BF2C-4B4D-8CBB-E8594F4499E5}" type="presOf" srcId="{267A7DCF-FC8C-4D5A-95C3-2B6E145012C8}" destId="{0349CB04-9B7B-4DAD-86D4-032F468427A5}" srcOrd="1" destOrd="0" presId="urn:microsoft.com/office/officeart/2009/3/layout/HorizontalOrganizationChart"/>
    <dgm:cxn modelId="{311C42F1-81B2-4B0B-99EE-79499E96623C}" type="presOf" srcId="{049075F9-62B5-47EC-9D1F-987C81103D99}" destId="{BF87ACE1-FBCC-4785-ADD0-9989B43CF768}" srcOrd="0" destOrd="0" presId="urn:microsoft.com/office/officeart/2009/3/layout/HorizontalOrganizationChart"/>
    <dgm:cxn modelId="{9516FFF3-F67D-4374-B975-7480B46E163B}" type="presOf" srcId="{5C9C9844-CB9D-4771-9C79-4691391BED0D}" destId="{8C240473-B12C-41FB-999D-BFC1A9C2C3EC}" srcOrd="0" destOrd="0" presId="urn:microsoft.com/office/officeart/2009/3/layout/HorizontalOrganizationChart"/>
    <dgm:cxn modelId="{446035F7-E1B4-4AA8-92D6-444184BD52FD}" srcId="{630B0292-6628-43F0-8D43-9CE29D32CE36}" destId="{CC5B63A5-4C5A-4A92-BBB2-BAA619B6BC77}" srcOrd="3" destOrd="0" parTransId="{BA190D87-F798-4463-9A17-784515952692}" sibTransId="{D30AB63C-7BCC-4E22-ACFE-668AAD5D3B9F}"/>
    <dgm:cxn modelId="{2D4F2385-6792-4DC5-88A0-A203D477A474}" type="presParOf" srcId="{74BF3420-5332-4696-AF73-2D3C1940C69A}" destId="{3072B0BD-0C56-461C-B1E6-BDFEE061F13A}" srcOrd="0" destOrd="0" presId="urn:microsoft.com/office/officeart/2009/3/layout/HorizontalOrganizationChart"/>
    <dgm:cxn modelId="{F81AEC7A-A867-4CC4-8F38-AAA07608F4C1}" type="presParOf" srcId="{3072B0BD-0C56-461C-B1E6-BDFEE061F13A}" destId="{57D69B58-5C10-4F71-B116-5C75CEABEDE7}" srcOrd="0" destOrd="0" presId="urn:microsoft.com/office/officeart/2009/3/layout/HorizontalOrganizationChart"/>
    <dgm:cxn modelId="{F0D1B2DC-0796-4D9E-B6F4-F5623BE75A8A}" type="presParOf" srcId="{57D69B58-5C10-4F71-B116-5C75CEABEDE7}" destId="{D94C2C1A-1FD6-4A94-9177-B9EE3CE7E65B}" srcOrd="0" destOrd="0" presId="urn:microsoft.com/office/officeart/2009/3/layout/HorizontalOrganizationChart"/>
    <dgm:cxn modelId="{43DDE5DF-6BFF-41D2-AA22-D760FCA743BE}" type="presParOf" srcId="{57D69B58-5C10-4F71-B116-5C75CEABEDE7}" destId="{5649E025-4A09-4361-A2AC-63BF4F3BB0EE}" srcOrd="1" destOrd="0" presId="urn:microsoft.com/office/officeart/2009/3/layout/HorizontalOrganizationChart"/>
    <dgm:cxn modelId="{518B9ED9-6A41-406E-9505-ED4E43EE006D}" type="presParOf" srcId="{3072B0BD-0C56-461C-B1E6-BDFEE061F13A}" destId="{557282E1-8ABA-4876-B45E-36226BD23BF5}" srcOrd="1" destOrd="0" presId="urn:microsoft.com/office/officeart/2009/3/layout/HorizontalOrganizationChart"/>
    <dgm:cxn modelId="{F3B6EB2B-D794-413F-9B96-CEFC90455523}" type="presParOf" srcId="{557282E1-8ABA-4876-B45E-36226BD23BF5}" destId="{C2D51CDA-A178-488E-8B97-1621825D100E}" srcOrd="0" destOrd="0" presId="urn:microsoft.com/office/officeart/2009/3/layout/HorizontalOrganizationChart"/>
    <dgm:cxn modelId="{8B58F909-38B4-4E36-BB0F-CDDA7B94AD02}" type="presParOf" srcId="{557282E1-8ABA-4876-B45E-36226BD23BF5}" destId="{3D591B7D-4E4C-4F92-BCAE-3CD75F40DA27}" srcOrd="1" destOrd="0" presId="urn:microsoft.com/office/officeart/2009/3/layout/HorizontalOrganizationChart"/>
    <dgm:cxn modelId="{4B349059-7EBD-4B44-9E72-421987FCE5C4}" type="presParOf" srcId="{3D591B7D-4E4C-4F92-BCAE-3CD75F40DA27}" destId="{495F4091-4797-448E-AD40-03560B317EB7}" srcOrd="0" destOrd="0" presId="urn:microsoft.com/office/officeart/2009/3/layout/HorizontalOrganizationChart"/>
    <dgm:cxn modelId="{042DC24B-FC54-42FE-BB7A-3F0693D5C54D}" type="presParOf" srcId="{495F4091-4797-448E-AD40-03560B317EB7}" destId="{C4EF671D-A26D-45C0-85E4-588CD59DFD74}" srcOrd="0" destOrd="0" presId="urn:microsoft.com/office/officeart/2009/3/layout/HorizontalOrganizationChart"/>
    <dgm:cxn modelId="{469218F4-C31D-4099-AA82-A723C4690AA0}" type="presParOf" srcId="{495F4091-4797-448E-AD40-03560B317EB7}" destId="{0D596A03-3671-4F67-B1F0-F52BFBDBE3D9}" srcOrd="1" destOrd="0" presId="urn:microsoft.com/office/officeart/2009/3/layout/HorizontalOrganizationChart"/>
    <dgm:cxn modelId="{599599B2-DAB2-43AC-B387-2CF955C89712}" type="presParOf" srcId="{3D591B7D-4E4C-4F92-BCAE-3CD75F40DA27}" destId="{D04AC82C-6E9C-4B61-A7C3-D24D5D80F0F1}" srcOrd="1" destOrd="0" presId="urn:microsoft.com/office/officeart/2009/3/layout/HorizontalOrganizationChart"/>
    <dgm:cxn modelId="{CACBCA40-1CE6-4192-9D04-B0D68C199EAF}" type="presParOf" srcId="{3D591B7D-4E4C-4F92-BCAE-3CD75F40DA27}" destId="{B29364D9-FAFA-41CD-871D-36C0BC9345B4}" srcOrd="2" destOrd="0" presId="urn:microsoft.com/office/officeart/2009/3/layout/HorizontalOrganizationChart"/>
    <dgm:cxn modelId="{248B84AE-EDDB-450D-8402-B096CD0BAB4B}" type="presParOf" srcId="{557282E1-8ABA-4876-B45E-36226BD23BF5}" destId="{BF87ACE1-FBCC-4785-ADD0-9989B43CF768}" srcOrd="2" destOrd="0" presId="urn:microsoft.com/office/officeart/2009/3/layout/HorizontalOrganizationChart"/>
    <dgm:cxn modelId="{3A4EED2A-6D44-4375-A4E4-A5ED0BB2CE0C}" type="presParOf" srcId="{557282E1-8ABA-4876-B45E-36226BD23BF5}" destId="{FCB052F1-FB94-4646-93CB-79479422E326}" srcOrd="3" destOrd="0" presId="urn:microsoft.com/office/officeart/2009/3/layout/HorizontalOrganizationChart"/>
    <dgm:cxn modelId="{A1AD173F-A173-4574-8F40-38AEADE8EC30}" type="presParOf" srcId="{FCB052F1-FB94-4646-93CB-79479422E326}" destId="{DEEB42A9-EF54-41FB-8D3B-3A167EDD81DD}" srcOrd="0" destOrd="0" presId="urn:microsoft.com/office/officeart/2009/3/layout/HorizontalOrganizationChart"/>
    <dgm:cxn modelId="{5FB0D01E-5635-4D10-A8C6-62F4D1E3C2BD}" type="presParOf" srcId="{DEEB42A9-EF54-41FB-8D3B-3A167EDD81DD}" destId="{56445D74-BB4E-4831-88F7-B7C54217E899}" srcOrd="0" destOrd="0" presId="urn:microsoft.com/office/officeart/2009/3/layout/HorizontalOrganizationChart"/>
    <dgm:cxn modelId="{71D252B2-39A8-4CAB-AE45-F3B4CE56EF54}" type="presParOf" srcId="{DEEB42A9-EF54-41FB-8D3B-3A167EDD81DD}" destId="{E7DE9396-E2B6-40D0-BF03-1B5BE4C909D4}" srcOrd="1" destOrd="0" presId="urn:microsoft.com/office/officeart/2009/3/layout/HorizontalOrganizationChart"/>
    <dgm:cxn modelId="{BE6E0A98-2C97-4BC5-9A19-9645DCB31F8B}" type="presParOf" srcId="{FCB052F1-FB94-4646-93CB-79479422E326}" destId="{36F042ED-C635-4C0F-80C0-A77775FAB7BF}" srcOrd="1" destOrd="0" presId="urn:microsoft.com/office/officeart/2009/3/layout/HorizontalOrganizationChart"/>
    <dgm:cxn modelId="{6D5FE9BF-98FF-4E2D-9FE3-846334AD34B8}" type="presParOf" srcId="{FCB052F1-FB94-4646-93CB-79479422E326}" destId="{C1EA9D89-0B84-4976-89B4-848BB85F4CF2}" srcOrd="2" destOrd="0" presId="urn:microsoft.com/office/officeart/2009/3/layout/HorizontalOrganizationChart"/>
    <dgm:cxn modelId="{58D14167-FAD8-4288-9862-7B5BA5D3752E}" type="presParOf" srcId="{557282E1-8ABA-4876-B45E-36226BD23BF5}" destId="{E6028255-3607-42E1-A40F-620578C4851C}" srcOrd="4" destOrd="0" presId="urn:microsoft.com/office/officeart/2009/3/layout/HorizontalOrganizationChart"/>
    <dgm:cxn modelId="{DDC83AE6-FC71-42D0-BF39-C7AC5EF67E18}" type="presParOf" srcId="{557282E1-8ABA-4876-B45E-36226BD23BF5}" destId="{7E4BBE7D-A859-46A8-B9DE-9AFC0D3545DC}" srcOrd="5" destOrd="0" presId="urn:microsoft.com/office/officeart/2009/3/layout/HorizontalOrganizationChart"/>
    <dgm:cxn modelId="{BCDE4C95-4B5F-4C8F-BE5F-8C2891533D70}" type="presParOf" srcId="{7E4BBE7D-A859-46A8-B9DE-9AFC0D3545DC}" destId="{05A4E37A-CA9C-404F-9907-84596713CFA4}" srcOrd="0" destOrd="0" presId="urn:microsoft.com/office/officeart/2009/3/layout/HorizontalOrganizationChart"/>
    <dgm:cxn modelId="{91AAA270-9DBB-4B78-BBFE-457A35991894}" type="presParOf" srcId="{05A4E37A-CA9C-404F-9907-84596713CFA4}" destId="{1B57458D-E072-4C28-A71E-FF2BEFA14F7D}" srcOrd="0" destOrd="0" presId="urn:microsoft.com/office/officeart/2009/3/layout/HorizontalOrganizationChart"/>
    <dgm:cxn modelId="{CF39FB79-99F3-4DAE-AD88-FB7A860F438E}" type="presParOf" srcId="{05A4E37A-CA9C-404F-9907-84596713CFA4}" destId="{9760C179-759A-46E1-9D78-F17D7A9A0F90}" srcOrd="1" destOrd="0" presId="urn:microsoft.com/office/officeart/2009/3/layout/HorizontalOrganizationChart"/>
    <dgm:cxn modelId="{4CE26A6A-014F-4F50-BDE5-CF62D7B4C6E9}" type="presParOf" srcId="{7E4BBE7D-A859-46A8-B9DE-9AFC0D3545DC}" destId="{ADF9E31E-7367-4488-B408-DA94743E1E8F}" srcOrd="1" destOrd="0" presId="urn:microsoft.com/office/officeart/2009/3/layout/HorizontalOrganizationChart"/>
    <dgm:cxn modelId="{62B9AC2A-DD7E-4480-8668-7E09C90CCC11}" type="presParOf" srcId="{7E4BBE7D-A859-46A8-B9DE-9AFC0D3545DC}" destId="{DE58E361-39E1-462F-9320-D80FFA501136}" srcOrd="2" destOrd="0" presId="urn:microsoft.com/office/officeart/2009/3/layout/HorizontalOrganizationChart"/>
    <dgm:cxn modelId="{174789B9-9ADA-4FE5-A25D-E01BA53500E0}" type="presParOf" srcId="{557282E1-8ABA-4876-B45E-36226BD23BF5}" destId="{CADCB901-7EE4-42DC-94E5-EAB501EA0D65}" srcOrd="6" destOrd="0" presId="urn:microsoft.com/office/officeart/2009/3/layout/HorizontalOrganizationChart"/>
    <dgm:cxn modelId="{05D196E9-B0D3-474D-AB15-BA3F2CC4B153}" type="presParOf" srcId="{557282E1-8ABA-4876-B45E-36226BD23BF5}" destId="{E5E82A82-2FE5-4996-8813-F5052F6A3C56}" srcOrd="7" destOrd="0" presId="urn:microsoft.com/office/officeart/2009/3/layout/HorizontalOrganizationChart"/>
    <dgm:cxn modelId="{F872690F-9233-40A0-B24C-E6AA889C33D7}" type="presParOf" srcId="{E5E82A82-2FE5-4996-8813-F5052F6A3C56}" destId="{52768271-407A-4215-A632-49291BBC97E5}" srcOrd="0" destOrd="0" presId="urn:microsoft.com/office/officeart/2009/3/layout/HorizontalOrganizationChart"/>
    <dgm:cxn modelId="{8526FEE4-4B90-4B31-80E8-1F1ED8204621}" type="presParOf" srcId="{52768271-407A-4215-A632-49291BBC97E5}" destId="{0FFF32F7-461B-4E91-A476-C3BA0C8CC119}" srcOrd="0" destOrd="0" presId="urn:microsoft.com/office/officeart/2009/3/layout/HorizontalOrganizationChart"/>
    <dgm:cxn modelId="{71878C75-AB53-4C8A-9B8A-F26DE9C4AFD6}" type="presParOf" srcId="{52768271-407A-4215-A632-49291BBC97E5}" destId="{1866BA80-4250-4191-9643-9E0447B451CD}" srcOrd="1" destOrd="0" presId="urn:microsoft.com/office/officeart/2009/3/layout/HorizontalOrganizationChart"/>
    <dgm:cxn modelId="{A26A42F0-6740-4538-A727-E8027FDCD846}" type="presParOf" srcId="{E5E82A82-2FE5-4996-8813-F5052F6A3C56}" destId="{2CD4F453-5C1C-4128-917A-A687F1992539}" srcOrd="1" destOrd="0" presId="urn:microsoft.com/office/officeart/2009/3/layout/HorizontalOrganizationChart"/>
    <dgm:cxn modelId="{76B94E7C-7DC2-4717-97B1-64646042CFBD}" type="presParOf" srcId="{E5E82A82-2FE5-4996-8813-F5052F6A3C56}" destId="{FADB1B2A-3EF1-48BB-8FDA-0E7081EB6AC7}" srcOrd="2" destOrd="0" presId="urn:microsoft.com/office/officeart/2009/3/layout/HorizontalOrganizationChart"/>
    <dgm:cxn modelId="{0789B6DF-C7FC-46AF-B2DD-BEB624777AA5}" type="presParOf" srcId="{557282E1-8ABA-4876-B45E-36226BD23BF5}" destId="{D2585AB6-A6C0-4B20-9E43-A8231546C255}" srcOrd="8" destOrd="0" presId="urn:microsoft.com/office/officeart/2009/3/layout/HorizontalOrganizationChart"/>
    <dgm:cxn modelId="{056EE738-7FDC-45FF-AA2D-FC44093756B4}" type="presParOf" srcId="{557282E1-8ABA-4876-B45E-36226BD23BF5}" destId="{6BFA97CA-996C-42DE-8789-B35FCD85BC2F}" srcOrd="9" destOrd="0" presId="urn:microsoft.com/office/officeart/2009/3/layout/HorizontalOrganizationChart"/>
    <dgm:cxn modelId="{B431F19B-32F5-4433-B903-2B967E71C3AD}" type="presParOf" srcId="{6BFA97CA-996C-42DE-8789-B35FCD85BC2F}" destId="{4905B54B-54BD-456C-B59C-35DDEEAE7B5A}" srcOrd="0" destOrd="0" presId="urn:microsoft.com/office/officeart/2009/3/layout/HorizontalOrganizationChart"/>
    <dgm:cxn modelId="{FBBCF5F3-AFA0-44DB-8B82-E2107D7E5B95}" type="presParOf" srcId="{4905B54B-54BD-456C-B59C-35DDEEAE7B5A}" destId="{D3A1CFB9-7656-4D36-A3EB-38DD07950428}" srcOrd="0" destOrd="0" presId="urn:microsoft.com/office/officeart/2009/3/layout/HorizontalOrganizationChart"/>
    <dgm:cxn modelId="{E6AEDBEB-971B-4EF2-8ACB-B834DDF231E5}" type="presParOf" srcId="{4905B54B-54BD-456C-B59C-35DDEEAE7B5A}" destId="{5D50AB2E-03C7-4610-8CD1-90097D2C34E1}" srcOrd="1" destOrd="0" presId="urn:microsoft.com/office/officeart/2009/3/layout/HorizontalOrganizationChart"/>
    <dgm:cxn modelId="{345CF57B-D171-4394-B715-60610E9CD83E}" type="presParOf" srcId="{6BFA97CA-996C-42DE-8789-B35FCD85BC2F}" destId="{038A3210-BF4E-4AAB-B130-7B221828816F}" srcOrd="1" destOrd="0" presId="urn:microsoft.com/office/officeart/2009/3/layout/HorizontalOrganizationChart"/>
    <dgm:cxn modelId="{8566EB7C-5B23-48D2-8B39-4BAAE15DA666}" type="presParOf" srcId="{6BFA97CA-996C-42DE-8789-B35FCD85BC2F}" destId="{3164DBBE-6C71-4C8B-BD40-5AEE6023CCDC}" srcOrd="2" destOrd="0" presId="urn:microsoft.com/office/officeart/2009/3/layout/HorizontalOrganizationChart"/>
    <dgm:cxn modelId="{6B82D741-152B-403B-B638-737E824A2807}" type="presParOf" srcId="{557282E1-8ABA-4876-B45E-36226BD23BF5}" destId="{DCDCEF10-3DEE-4F5B-9474-A2FD699A518C}" srcOrd="10" destOrd="0" presId="urn:microsoft.com/office/officeart/2009/3/layout/HorizontalOrganizationChart"/>
    <dgm:cxn modelId="{22984B27-8157-4982-90D4-C32279C61F54}" type="presParOf" srcId="{557282E1-8ABA-4876-B45E-36226BD23BF5}" destId="{ED724C8C-CCB5-4026-B409-5A49992FB528}" srcOrd="11" destOrd="0" presId="urn:microsoft.com/office/officeart/2009/3/layout/HorizontalOrganizationChart"/>
    <dgm:cxn modelId="{6D181050-D024-4108-BEB5-5849393EE9C4}" type="presParOf" srcId="{ED724C8C-CCB5-4026-B409-5A49992FB528}" destId="{01E6D065-FC85-477C-9018-24731CE1189C}" srcOrd="0" destOrd="0" presId="urn:microsoft.com/office/officeart/2009/3/layout/HorizontalOrganizationChart"/>
    <dgm:cxn modelId="{14302719-3E97-4EC9-9592-D931F69BCFFA}" type="presParOf" srcId="{01E6D065-FC85-477C-9018-24731CE1189C}" destId="{FEE67F8B-ED1E-4D42-BBA2-9D1C9EBDE86B}" srcOrd="0" destOrd="0" presId="urn:microsoft.com/office/officeart/2009/3/layout/HorizontalOrganizationChart"/>
    <dgm:cxn modelId="{D87C7288-9B3D-49DD-9387-B4CB3EE852F0}" type="presParOf" srcId="{01E6D065-FC85-477C-9018-24731CE1189C}" destId="{0349CB04-9B7B-4DAD-86D4-032F468427A5}" srcOrd="1" destOrd="0" presId="urn:microsoft.com/office/officeart/2009/3/layout/HorizontalOrganizationChart"/>
    <dgm:cxn modelId="{DEA7D5B4-FFDA-4F71-9628-8B79C0F87814}" type="presParOf" srcId="{ED724C8C-CCB5-4026-B409-5A49992FB528}" destId="{61AE46C0-CBA4-44D0-B8F0-E497BB93D14C}" srcOrd="1" destOrd="0" presId="urn:microsoft.com/office/officeart/2009/3/layout/HorizontalOrganizationChart"/>
    <dgm:cxn modelId="{F5332134-22A4-445B-8F99-1F899FF1C6EA}" type="presParOf" srcId="{ED724C8C-CCB5-4026-B409-5A49992FB528}" destId="{D3BA834D-2D69-4788-930E-187A0C6AB4F6}" srcOrd="2" destOrd="0" presId="urn:microsoft.com/office/officeart/2009/3/layout/HorizontalOrganizationChart"/>
    <dgm:cxn modelId="{643620CE-B248-46EC-9396-5DA1EAA89F91}" type="presParOf" srcId="{557282E1-8ABA-4876-B45E-36226BD23BF5}" destId="{8C240473-B12C-41FB-999D-BFC1A9C2C3EC}" srcOrd="12" destOrd="0" presId="urn:microsoft.com/office/officeart/2009/3/layout/HorizontalOrganizationChart"/>
    <dgm:cxn modelId="{C1CB4A2C-614D-41A6-AF89-A4F306838E99}" type="presParOf" srcId="{557282E1-8ABA-4876-B45E-36226BD23BF5}" destId="{304804A2-365E-4F31-B8D2-B0B253404F51}" srcOrd="13" destOrd="0" presId="urn:microsoft.com/office/officeart/2009/3/layout/HorizontalOrganizationChart"/>
    <dgm:cxn modelId="{129F339E-ADB4-4078-992B-E79443600BFA}" type="presParOf" srcId="{304804A2-365E-4F31-B8D2-B0B253404F51}" destId="{16A0867D-2061-4E46-B442-F15B2392EF3F}" srcOrd="0" destOrd="0" presId="urn:microsoft.com/office/officeart/2009/3/layout/HorizontalOrganizationChart"/>
    <dgm:cxn modelId="{D95B60ED-CB05-420D-98DF-1CA7A8536FBB}" type="presParOf" srcId="{16A0867D-2061-4E46-B442-F15B2392EF3F}" destId="{394DC682-ABC9-4BF1-8F61-EBCA8F9225D9}" srcOrd="0" destOrd="0" presId="urn:microsoft.com/office/officeart/2009/3/layout/HorizontalOrganizationChart"/>
    <dgm:cxn modelId="{3BF8E100-A227-451C-B9C6-14A6430C1BB9}" type="presParOf" srcId="{16A0867D-2061-4E46-B442-F15B2392EF3F}" destId="{0982B354-4D88-4113-88D6-B7EFF9EF2EBC}" srcOrd="1" destOrd="0" presId="urn:microsoft.com/office/officeart/2009/3/layout/HorizontalOrganizationChart"/>
    <dgm:cxn modelId="{8E0D3755-5FF6-4557-91A3-DAB3372527C6}" type="presParOf" srcId="{304804A2-365E-4F31-B8D2-B0B253404F51}" destId="{99037B09-F904-4DA5-A95B-BDEA0A4EF40D}" srcOrd="1" destOrd="0" presId="urn:microsoft.com/office/officeart/2009/3/layout/HorizontalOrganizationChart"/>
    <dgm:cxn modelId="{CC506C58-385A-4972-BABF-31EEC37DA2D4}" type="presParOf" srcId="{304804A2-365E-4F31-B8D2-B0B253404F51}" destId="{672CF41B-7A65-4675-AAAC-AF04A9EF5259}" srcOrd="2" destOrd="0" presId="urn:microsoft.com/office/officeart/2009/3/layout/HorizontalOrganizationChart"/>
    <dgm:cxn modelId="{02FA8AF9-B9D6-4DB7-962D-D8A0C3FDF097}" type="presParOf" srcId="{3072B0BD-0C56-461C-B1E6-BDFEE061F13A}" destId="{2FA8656A-3755-4888-88CE-F55256259514}" srcOrd="2" destOrd="0" presId="urn:microsoft.com/office/officeart/2009/3/layout/HorizontalOrganization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C899F9-355A-48EF-993B-C7A5260B4193}">
      <dsp:nvSpPr>
        <dsp:cNvPr id="0" name=""/>
        <dsp:cNvSpPr/>
      </dsp:nvSpPr>
      <dsp:spPr>
        <a:xfrm rot="5400000">
          <a:off x="3327293" y="-2105532"/>
          <a:ext cx="423936" cy="4637055"/>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kern="1200">
              <a:latin typeface="Times New Roman" panose="02020603050405020304" pitchFamily="18" charset="0"/>
              <a:cs typeface="Times New Roman" panose="02020603050405020304" pitchFamily="18" charset="0"/>
            </a:rPr>
            <a:t>Визначення поняття </a:t>
          </a:r>
        </a:p>
      </dsp:txBody>
      <dsp:txXfrm rot="-5400000">
        <a:off x="1220734" y="21722"/>
        <a:ext cx="4616360" cy="382546"/>
      </dsp:txXfrm>
    </dsp:sp>
    <dsp:sp modelId="{8EB31BEF-17D0-4C64-B6D4-A088EC473004}">
      <dsp:nvSpPr>
        <dsp:cNvPr id="0" name=""/>
        <dsp:cNvSpPr/>
      </dsp:nvSpPr>
      <dsp:spPr>
        <a:xfrm>
          <a:off x="216438" y="7935"/>
          <a:ext cx="1004295" cy="410118"/>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Автор </a:t>
          </a:r>
        </a:p>
      </dsp:txBody>
      <dsp:txXfrm>
        <a:off x="236458" y="27955"/>
        <a:ext cx="964255" cy="370078"/>
      </dsp:txXfrm>
    </dsp:sp>
    <dsp:sp modelId="{2A550331-5C81-4533-B8A9-37DE24A895F9}">
      <dsp:nvSpPr>
        <dsp:cNvPr id="0" name=""/>
        <dsp:cNvSpPr/>
      </dsp:nvSpPr>
      <dsp:spPr>
        <a:xfrm rot="5400000">
          <a:off x="2993070" y="-1300104"/>
          <a:ext cx="1085892" cy="4632527"/>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Рента - це залишок продукції землероба після відрахування витрат на сівбу, власного споживання та обміну на необхідні товари, який можна вважати природною рентою певного року. Основними чинниками формування ренти є рівень цін на сільськогосподарську продукцію, природна й економічна родючість землі та місце розташування земельної ділянки.</a:t>
          </a:r>
        </a:p>
      </dsp:txBody>
      <dsp:txXfrm rot="-5400000">
        <a:off x="1219753" y="526222"/>
        <a:ext cx="4579518" cy="979874"/>
      </dsp:txXfrm>
    </dsp:sp>
    <dsp:sp modelId="{EE697802-99A6-4E06-8E86-818A7D7F0390}">
      <dsp:nvSpPr>
        <dsp:cNvPr id="0" name=""/>
        <dsp:cNvSpPr/>
      </dsp:nvSpPr>
      <dsp:spPr>
        <a:xfrm>
          <a:off x="216438" y="533666"/>
          <a:ext cx="1003315" cy="964983"/>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В. Петі</a:t>
          </a:r>
          <a:endParaRPr lang="ru-RU" sz="1200" b="0" kern="1200">
            <a:latin typeface="Times New Roman" panose="02020603050405020304" pitchFamily="18" charset="0"/>
            <a:cs typeface="Times New Roman" panose="02020603050405020304" pitchFamily="18" charset="0"/>
          </a:endParaRPr>
        </a:p>
      </dsp:txBody>
      <dsp:txXfrm>
        <a:off x="263545" y="580773"/>
        <a:ext cx="909101" cy="870769"/>
      </dsp:txXfrm>
    </dsp:sp>
    <dsp:sp modelId="{0833ED9D-63BF-49C5-93BA-7AFFCF7A0D5D}">
      <dsp:nvSpPr>
        <dsp:cNvPr id="0" name=""/>
        <dsp:cNvSpPr/>
      </dsp:nvSpPr>
      <dsp:spPr>
        <a:xfrm rot="5400000">
          <a:off x="3272084" y="-400550"/>
          <a:ext cx="534354" cy="4637055"/>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Земельна рента - це дохід, який отримує землевласник із землі. Він акцентує увагу на важливості вкладення праці та капіталу в землю для визначення величини ренти.</a:t>
          </a:r>
        </a:p>
      </dsp:txBody>
      <dsp:txXfrm rot="-5400000">
        <a:off x="1220734" y="1676885"/>
        <a:ext cx="4610970" cy="482184"/>
      </dsp:txXfrm>
    </dsp:sp>
    <dsp:sp modelId="{3E03195B-880B-4E93-B246-FC7756247971}">
      <dsp:nvSpPr>
        <dsp:cNvPr id="0" name=""/>
        <dsp:cNvSpPr/>
      </dsp:nvSpPr>
      <dsp:spPr>
        <a:xfrm>
          <a:off x="216438" y="1607354"/>
          <a:ext cx="1004295" cy="621246"/>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А. Сміт</a:t>
          </a:r>
        </a:p>
      </dsp:txBody>
      <dsp:txXfrm>
        <a:off x="246765" y="1637681"/>
        <a:ext cx="943641" cy="560592"/>
      </dsp:txXfrm>
    </dsp:sp>
    <dsp:sp modelId="{37626B6B-74D6-469B-8D23-250508F11932}">
      <dsp:nvSpPr>
        <dsp:cNvPr id="0" name=""/>
        <dsp:cNvSpPr/>
      </dsp:nvSpPr>
      <dsp:spPr>
        <a:xfrm rot="5400000">
          <a:off x="3113117" y="440814"/>
          <a:ext cx="852289" cy="4637055"/>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Земельна рента - це частина продукту землі, що виплачується землевласнику за користування первинними і незруйнованими силами ґрунту. Він визнає тільки диференціальну ренту І, що залежить від природної родючості та місця розташування земельної ділянки.</a:t>
          </a:r>
        </a:p>
      </dsp:txBody>
      <dsp:txXfrm rot="-5400000">
        <a:off x="1220735" y="2374802"/>
        <a:ext cx="4595450" cy="769079"/>
      </dsp:txXfrm>
    </dsp:sp>
    <dsp:sp modelId="{62C1DFE3-39D0-42EC-9D56-13733A2C5D7C}">
      <dsp:nvSpPr>
        <dsp:cNvPr id="0" name=""/>
        <dsp:cNvSpPr/>
      </dsp:nvSpPr>
      <dsp:spPr>
        <a:xfrm>
          <a:off x="216438" y="2276850"/>
          <a:ext cx="1004295" cy="964983"/>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Д. Рікардо</a:t>
          </a:r>
        </a:p>
      </dsp:txBody>
      <dsp:txXfrm>
        <a:off x="263545" y="2323957"/>
        <a:ext cx="910081" cy="870769"/>
      </dsp:txXfrm>
    </dsp:sp>
    <dsp:sp modelId="{9CED12FC-00EF-4D3D-A01D-39A87DF4F666}">
      <dsp:nvSpPr>
        <dsp:cNvPr id="0" name=""/>
        <dsp:cNvSpPr/>
      </dsp:nvSpPr>
      <dsp:spPr>
        <a:xfrm rot="5400000">
          <a:off x="3153268" y="1357549"/>
          <a:ext cx="771987" cy="4637055"/>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Земля та чистий прибуток, отриманий із неї, є єдиним джерелом національного багатства. Він також визнає вплив праці та капіталу на формування диференціальної ренти ІІ.</a:t>
          </a:r>
        </a:p>
      </dsp:txBody>
      <dsp:txXfrm rot="-5400000">
        <a:off x="1220735" y="3327768"/>
        <a:ext cx="4599370" cy="696617"/>
      </dsp:txXfrm>
    </dsp:sp>
    <dsp:sp modelId="{B390AAB8-39BA-43DE-A640-9C651006491E}">
      <dsp:nvSpPr>
        <dsp:cNvPr id="0" name=""/>
        <dsp:cNvSpPr/>
      </dsp:nvSpPr>
      <dsp:spPr>
        <a:xfrm>
          <a:off x="216438" y="3395382"/>
          <a:ext cx="1004295" cy="561389"/>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А. Тюрго</a:t>
          </a:r>
        </a:p>
      </dsp:txBody>
      <dsp:txXfrm>
        <a:off x="243843" y="3422787"/>
        <a:ext cx="949485" cy="506579"/>
      </dsp:txXfrm>
    </dsp:sp>
    <dsp:sp modelId="{ECB9F847-46ED-4A7C-A037-E0ACC1FE0549}">
      <dsp:nvSpPr>
        <dsp:cNvPr id="0" name=""/>
        <dsp:cNvSpPr/>
      </dsp:nvSpPr>
      <dsp:spPr>
        <a:xfrm rot="5400000">
          <a:off x="3153268" y="2177785"/>
          <a:ext cx="771987" cy="4637055"/>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Рента виникає через монополію приватної власності на землю, що створює абсолютну ренту. Він стверджує, що рента виникає, коли органічна будова капіталу в сільському господарстві є нижчою, ніж у промисловості.</a:t>
          </a:r>
        </a:p>
      </dsp:txBody>
      <dsp:txXfrm rot="-5400000">
        <a:off x="1220735" y="4148004"/>
        <a:ext cx="4599370" cy="696617"/>
      </dsp:txXfrm>
    </dsp:sp>
    <dsp:sp modelId="{95E9A649-F863-4ECA-97F4-1154FD1BECEA}">
      <dsp:nvSpPr>
        <dsp:cNvPr id="0" name=""/>
        <dsp:cNvSpPr/>
      </dsp:nvSpPr>
      <dsp:spPr>
        <a:xfrm>
          <a:off x="216438" y="4152074"/>
          <a:ext cx="1004295" cy="688477"/>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К. Маркс</a:t>
          </a:r>
        </a:p>
      </dsp:txBody>
      <dsp:txXfrm>
        <a:off x="250047" y="4185683"/>
        <a:ext cx="937077" cy="621259"/>
      </dsp:txXfrm>
    </dsp:sp>
    <dsp:sp modelId="{DB987D6B-B867-46DF-A1CB-A23FAD2BA557}">
      <dsp:nvSpPr>
        <dsp:cNvPr id="0" name=""/>
        <dsp:cNvSpPr/>
      </dsp:nvSpPr>
      <dsp:spPr>
        <a:xfrm rot="5400000">
          <a:off x="3153268" y="2998021"/>
          <a:ext cx="771987" cy="4637055"/>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Земельна рента залежить від місця розташування земельної ділянки. В межах ізольованої держави родючість земель є однаковою, і рента зменшується з відстанню від ринку збуту.</a:t>
          </a:r>
        </a:p>
      </dsp:txBody>
      <dsp:txXfrm rot="-5400000">
        <a:off x="1220735" y="4968240"/>
        <a:ext cx="4599370" cy="696617"/>
      </dsp:txXfrm>
    </dsp:sp>
    <dsp:sp modelId="{90E9942B-A637-4512-B98F-07E393177E78}">
      <dsp:nvSpPr>
        <dsp:cNvPr id="0" name=""/>
        <dsp:cNvSpPr/>
      </dsp:nvSpPr>
      <dsp:spPr>
        <a:xfrm>
          <a:off x="216438" y="5013400"/>
          <a:ext cx="1004295" cy="606299"/>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Йоганн Генріх Фон Тюнен</a:t>
          </a:r>
        </a:p>
      </dsp:txBody>
      <dsp:txXfrm>
        <a:off x="246035" y="5042997"/>
        <a:ext cx="945101" cy="54710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6A867A-0873-4E52-89A0-C4C46F718021}">
      <dsp:nvSpPr>
        <dsp:cNvPr id="0" name=""/>
        <dsp:cNvSpPr/>
      </dsp:nvSpPr>
      <dsp:spPr>
        <a:xfrm rot="5400000">
          <a:off x="3298156" y="-1868909"/>
          <a:ext cx="525796" cy="4265550"/>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ru-RU" sz="1200" b="0" kern="1200">
              <a:latin typeface="Times New Roman" panose="02020603050405020304" pitchFamily="18" charset="0"/>
              <a:cs typeface="Times New Roman" panose="02020603050405020304" pitchFamily="18" charset="0"/>
            </a:rPr>
            <a:t>Визначення поняття</a:t>
          </a:r>
        </a:p>
      </dsp:txBody>
      <dsp:txXfrm rot="-5400000">
        <a:off x="1428280" y="26634"/>
        <a:ext cx="4239883" cy="474462"/>
      </dsp:txXfrm>
    </dsp:sp>
    <dsp:sp modelId="{3F3EEF9B-F4DE-46A6-922B-2A50593838A5}">
      <dsp:nvSpPr>
        <dsp:cNvPr id="0" name=""/>
        <dsp:cNvSpPr/>
      </dsp:nvSpPr>
      <dsp:spPr>
        <a:xfrm>
          <a:off x="195159" y="41006"/>
          <a:ext cx="1233119" cy="445718"/>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just" defTabSz="533400">
            <a:lnSpc>
              <a:spcPct val="90000"/>
            </a:lnSpc>
            <a:spcBef>
              <a:spcPct val="0"/>
            </a:spcBef>
            <a:spcAft>
              <a:spcPct val="35000"/>
            </a:spcAft>
            <a:buNone/>
          </a:pPr>
          <a:r>
            <a:rPr lang="ru-RU" sz="1200" b="0" kern="1200">
              <a:latin typeface="Times New Roman" panose="02020603050405020304" pitchFamily="18" charset="0"/>
              <a:cs typeface="Times New Roman" panose="02020603050405020304" pitchFamily="18" charset="0"/>
            </a:rPr>
            <a:t>Автор </a:t>
          </a:r>
        </a:p>
      </dsp:txBody>
      <dsp:txXfrm>
        <a:off x="216917" y="62764"/>
        <a:ext cx="1189603" cy="402202"/>
      </dsp:txXfrm>
    </dsp:sp>
    <dsp:sp modelId="{32DCC505-EDA8-44A3-A517-7538BD21E2AB}">
      <dsp:nvSpPr>
        <dsp:cNvPr id="0" name=""/>
        <dsp:cNvSpPr/>
      </dsp:nvSpPr>
      <dsp:spPr>
        <a:xfrm rot="5400000">
          <a:off x="3225849" y="-1170224"/>
          <a:ext cx="670411" cy="4265550"/>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Земельна рента - це нетрудовий дохід, що виникає внаслідок використання стійких корисних властивостей землі.</a:t>
          </a:r>
          <a:endParaRPr lang="ru-RU" sz="1200" b="0" kern="1200">
            <a:latin typeface="Times New Roman" panose="02020603050405020304" pitchFamily="18" charset="0"/>
            <a:cs typeface="Times New Roman" panose="02020603050405020304" pitchFamily="18" charset="0"/>
          </a:endParaRPr>
        </a:p>
      </dsp:txBody>
      <dsp:txXfrm rot="-5400000">
        <a:off x="1428280" y="660072"/>
        <a:ext cx="4232823" cy="604957"/>
      </dsp:txXfrm>
    </dsp:sp>
    <dsp:sp modelId="{D20175F9-25A6-47EB-9B9D-4E7C5DC6EE38}">
      <dsp:nvSpPr>
        <dsp:cNvPr id="0" name=""/>
        <dsp:cNvSpPr/>
      </dsp:nvSpPr>
      <dsp:spPr>
        <a:xfrm>
          <a:off x="195159" y="603699"/>
          <a:ext cx="1233119" cy="717701"/>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just"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М. Туган-Барановський</a:t>
          </a:r>
          <a:endParaRPr lang="ru-RU" sz="1200" b="0" kern="1200">
            <a:latin typeface="Times New Roman" panose="02020603050405020304" pitchFamily="18" charset="0"/>
            <a:cs typeface="Times New Roman" panose="02020603050405020304" pitchFamily="18" charset="0"/>
          </a:endParaRPr>
        </a:p>
      </dsp:txBody>
      <dsp:txXfrm>
        <a:off x="230194" y="638734"/>
        <a:ext cx="1163049" cy="647631"/>
      </dsp:txXfrm>
    </dsp:sp>
    <dsp:sp modelId="{90D6B42D-6D73-4997-85E4-8B07D1B9BC4C}">
      <dsp:nvSpPr>
        <dsp:cNvPr id="0" name=""/>
        <dsp:cNvSpPr/>
      </dsp:nvSpPr>
      <dsp:spPr>
        <a:xfrm rot="5400000">
          <a:off x="2808814" y="34918"/>
          <a:ext cx="1504479" cy="4265550"/>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Земельна рента - це дохід землевласника, у якому реалізується право власності на землю. Він виокремлює абсолютну та диференціальну ренту, визначаючи основні рентотвірні чинники як ціни на сільськогосподарську продукцію, родючість ґрунту, місце розташування земельної ділянки та інтенсифікацію виробництва.</a:t>
          </a:r>
        </a:p>
      </dsp:txBody>
      <dsp:txXfrm rot="-5400000">
        <a:off x="1428279" y="1488897"/>
        <a:ext cx="4192107" cy="1357593"/>
      </dsp:txXfrm>
    </dsp:sp>
    <dsp:sp modelId="{1A56F008-2F3A-4C52-9D5D-2CE22F27B288}">
      <dsp:nvSpPr>
        <dsp:cNvPr id="0" name=""/>
        <dsp:cNvSpPr/>
      </dsp:nvSpPr>
      <dsp:spPr>
        <a:xfrm>
          <a:off x="195159" y="1398337"/>
          <a:ext cx="1233119" cy="1538712"/>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just"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С. Кручок</a:t>
          </a:r>
        </a:p>
      </dsp:txBody>
      <dsp:txXfrm>
        <a:off x="255355" y="1458533"/>
        <a:ext cx="1112727" cy="1418320"/>
      </dsp:txXfrm>
    </dsp:sp>
    <dsp:sp modelId="{DA0E5A1B-6125-4D7C-ACBF-D88D843CD6A1}">
      <dsp:nvSpPr>
        <dsp:cNvPr id="0" name=""/>
        <dsp:cNvSpPr/>
      </dsp:nvSpPr>
      <dsp:spPr>
        <a:xfrm rot="5400000">
          <a:off x="3232434" y="1227466"/>
          <a:ext cx="657239" cy="4265550"/>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Джерело земельної ренти полягає в приватній власності на землю, яка гарантує "дожиттєвий дохід" власнику.</a:t>
          </a:r>
        </a:p>
      </dsp:txBody>
      <dsp:txXfrm rot="-5400000">
        <a:off x="1428279" y="3063705"/>
        <a:ext cx="4233466" cy="593071"/>
      </dsp:txXfrm>
    </dsp:sp>
    <dsp:sp modelId="{FC547D13-F2A0-47A6-B618-685E60204BCD}">
      <dsp:nvSpPr>
        <dsp:cNvPr id="0" name=""/>
        <dsp:cNvSpPr/>
      </dsp:nvSpPr>
      <dsp:spPr>
        <a:xfrm>
          <a:off x="195159" y="3013985"/>
          <a:ext cx="1233119" cy="692513"/>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just"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І. Малий</a:t>
          </a:r>
        </a:p>
      </dsp:txBody>
      <dsp:txXfrm>
        <a:off x="228965" y="3047791"/>
        <a:ext cx="1165507" cy="624901"/>
      </dsp:txXfrm>
    </dsp:sp>
    <dsp:sp modelId="{8A5DB752-EF01-4CF8-9564-263EBC53A732}">
      <dsp:nvSpPr>
        <dsp:cNvPr id="0" name=""/>
        <dsp:cNvSpPr/>
      </dsp:nvSpPr>
      <dsp:spPr>
        <a:xfrm rot="5400000">
          <a:off x="2796775" y="2420015"/>
          <a:ext cx="1528557" cy="4265550"/>
        </a:xfrm>
        <a:prstGeom prst="round2SameRect">
          <a:avLst/>
        </a:prstGeom>
        <a:solidFill>
          <a:schemeClr val="lt1">
            <a:alpha val="90000"/>
            <a:tint val="4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uk-UA" sz="1200" b="0" kern="1200">
              <a:latin typeface="Times New Roman" panose="02020603050405020304" pitchFamily="18" charset="0"/>
              <a:cs typeface="Times New Roman" panose="02020603050405020304" pitchFamily="18" charset="0"/>
            </a:rPr>
            <a:t>Земельна рента - це форма економічної реалізації власності на землю, що виникає у процесі праці та привласнення її результатів у різних сферах суспільного відтворення. Він виокремлює три основні форми ренти: диференціальну, абсолютну та монопольну. Диференціальна рента поділяється на два типи: І та ІІ, залежно від природної родючості та інтенсивного ведення господарської діяльності.</a:t>
          </a:r>
        </a:p>
      </dsp:txBody>
      <dsp:txXfrm rot="-5400000">
        <a:off x="1428279" y="3863129"/>
        <a:ext cx="4190932" cy="1379321"/>
      </dsp:txXfrm>
    </dsp:sp>
    <dsp:sp modelId="{5926BBA7-E605-4E48-BC54-D2C6C670F40D}">
      <dsp:nvSpPr>
        <dsp:cNvPr id="0" name=""/>
        <dsp:cNvSpPr/>
      </dsp:nvSpPr>
      <dsp:spPr>
        <a:xfrm>
          <a:off x="195159" y="3783434"/>
          <a:ext cx="1233119" cy="1538712"/>
        </a:xfrm>
        <a:prstGeom prst="round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just"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С. Мочерний</a:t>
          </a:r>
        </a:p>
      </dsp:txBody>
      <dsp:txXfrm>
        <a:off x="255355" y="3843630"/>
        <a:ext cx="1112727" cy="141832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240473-B12C-41FB-999D-BFC1A9C2C3EC}">
      <dsp:nvSpPr>
        <dsp:cNvPr id="0" name=""/>
        <dsp:cNvSpPr/>
      </dsp:nvSpPr>
      <dsp:spPr>
        <a:xfrm>
          <a:off x="1693797" y="2041071"/>
          <a:ext cx="205061" cy="1592848"/>
        </a:xfrm>
        <a:custGeom>
          <a:avLst/>
          <a:gdLst/>
          <a:ahLst/>
          <a:cxnLst/>
          <a:rect l="0" t="0" r="0" b="0"/>
          <a:pathLst>
            <a:path>
              <a:moveTo>
                <a:pt x="0" y="0"/>
              </a:moveTo>
              <a:lnTo>
                <a:pt x="102530" y="0"/>
              </a:lnTo>
              <a:lnTo>
                <a:pt x="102530" y="1592848"/>
              </a:lnTo>
              <a:lnTo>
                <a:pt x="205061" y="1592848"/>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CDCEF10-3DEE-4F5B-9474-A2FD699A518C}">
      <dsp:nvSpPr>
        <dsp:cNvPr id="0" name=""/>
        <dsp:cNvSpPr/>
      </dsp:nvSpPr>
      <dsp:spPr>
        <a:xfrm>
          <a:off x="1693797" y="2041071"/>
          <a:ext cx="205061" cy="1061898"/>
        </a:xfrm>
        <a:custGeom>
          <a:avLst/>
          <a:gdLst/>
          <a:ahLst/>
          <a:cxnLst/>
          <a:rect l="0" t="0" r="0" b="0"/>
          <a:pathLst>
            <a:path>
              <a:moveTo>
                <a:pt x="0" y="0"/>
              </a:moveTo>
              <a:lnTo>
                <a:pt x="102530" y="0"/>
              </a:lnTo>
              <a:lnTo>
                <a:pt x="102530" y="1061898"/>
              </a:lnTo>
              <a:lnTo>
                <a:pt x="205061" y="1061898"/>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2585AB6-A6C0-4B20-9E43-A8231546C255}">
      <dsp:nvSpPr>
        <dsp:cNvPr id="0" name=""/>
        <dsp:cNvSpPr/>
      </dsp:nvSpPr>
      <dsp:spPr>
        <a:xfrm>
          <a:off x="1693797" y="2041071"/>
          <a:ext cx="205061" cy="530949"/>
        </a:xfrm>
        <a:custGeom>
          <a:avLst/>
          <a:gdLst/>
          <a:ahLst/>
          <a:cxnLst/>
          <a:rect l="0" t="0" r="0" b="0"/>
          <a:pathLst>
            <a:path>
              <a:moveTo>
                <a:pt x="0" y="0"/>
              </a:moveTo>
              <a:lnTo>
                <a:pt x="102530" y="0"/>
              </a:lnTo>
              <a:lnTo>
                <a:pt x="102530" y="530949"/>
              </a:lnTo>
              <a:lnTo>
                <a:pt x="205061" y="530949"/>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ADCB901-7EE4-42DC-94E5-EAB501EA0D65}">
      <dsp:nvSpPr>
        <dsp:cNvPr id="0" name=""/>
        <dsp:cNvSpPr/>
      </dsp:nvSpPr>
      <dsp:spPr>
        <a:xfrm>
          <a:off x="1693797" y="1995351"/>
          <a:ext cx="205061" cy="91440"/>
        </a:xfrm>
        <a:custGeom>
          <a:avLst/>
          <a:gdLst/>
          <a:ahLst/>
          <a:cxnLst/>
          <a:rect l="0" t="0" r="0" b="0"/>
          <a:pathLst>
            <a:path>
              <a:moveTo>
                <a:pt x="0" y="45720"/>
              </a:moveTo>
              <a:lnTo>
                <a:pt x="205061" y="45720"/>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6028255-3607-42E1-A40F-620578C4851C}">
      <dsp:nvSpPr>
        <dsp:cNvPr id="0" name=""/>
        <dsp:cNvSpPr/>
      </dsp:nvSpPr>
      <dsp:spPr>
        <a:xfrm>
          <a:off x="1693797" y="1510122"/>
          <a:ext cx="205061" cy="530949"/>
        </a:xfrm>
        <a:custGeom>
          <a:avLst/>
          <a:gdLst/>
          <a:ahLst/>
          <a:cxnLst/>
          <a:rect l="0" t="0" r="0" b="0"/>
          <a:pathLst>
            <a:path>
              <a:moveTo>
                <a:pt x="0" y="530949"/>
              </a:moveTo>
              <a:lnTo>
                <a:pt x="102530" y="530949"/>
              </a:lnTo>
              <a:lnTo>
                <a:pt x="102530" y="0"/>
              </a:lnTo>
              <a:lnTo>
                <a:pt x="205061" y="0"/>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F87ACE1-FBCC-4785-ADD0-9989B43CF768}">
      <dsp:nvSpPr>
        <dsp:cNvPr id="0" name=""/>
        <dsp:cNvSpPr/>
      </dsp:nvSpPr>
      <dsp:spPr>
        <a:xfrm>
          <a:off x="1693797" y="979172"/>
          <a:ext cx="205061" cy="1061898"/>
        </a:xfrm>
        <a:custGeom>
          <a:avLst/>
          <a:gdLst/>
          <a:ahLst/>
          <a:cxnLst/>
          <a:rect l="0" t="0" r="0" b="0"/>
          <a:pathLst>
            <a:path>
              <a:moveTo>
                <a:pt x="0" y="1061898"/>
              </a:moveTo>
              <a:lnTo>
                <a:pt x="102530" y="1061898"/>
              </a:lnTo>
              <a:lnTo>
                <a:pt x="102530" y="0"/>
              </a:lnTo>
              <a:lnTo>
                <a:pt x="205061" y="0"/>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2D51CDA-A178-488E-8B97-1621825D100E}">
      <dsp:nvSpPr>
        <dsp:cNvPr id="0" name=""/>
        <dsp:cNvSpPr/>
      </dsp:nvSpPr>
      <dsp:spPr>
        <a:xfrm>
          <a:off x="1693797" y="448223"/>
          <a:ext cx="205061" cy="1592848"/>
        </a:xfrm>
        <a:custGeom>
          <a:avLst/>
          <a:gdLst/>
          <a:ahLst/>
          <a:cxnLst/>
          <a:rect l="0" t="0" r="0" b="0"/>
          <a:pathLst>
            <a:path>
              <a:moveTo>
                <a:pt x="0" y="1592848"/>
              </a:moveTo>
              <a:lnTo>
                <a:pt x="102530" y="1592848"/>
              </a:lnTo>
              <a:lnTo>
                <a:pt x="102530" y="0"/>
              </a:lnTo>
              <a:lnTo>
                <a:pt x="205061" y="0"/>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94C2C1A-1FD6-4A94-9177-B9EE3CE7E65B}">
      <dsp:nvSpPr>
        <dsp:cNvPr id="0" name=""/>
        <dsp:cNvSpPr/>
      </dsp:nvSpPr>
      <dsp:spPr>
        <a:xfrm>
          <a:off x="3953" y="1601542"/>
          <a:ext cx="1689843" cy="87905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Вплив земельної ренти на добробут громадян </a:t>
          </a:r>
          <a:endParaRPr lang="ru-RU" sz="1400" kern="1200">
            <a:latin typeface="Times New Roman" panose="02020603050405020304" pitchFamily="18" charset="0"/>
            <a:cs typeface="Times New Roman" panose="02020603050405020304" pitchFamily="18" charset="0"/>
          </a:endParaRPr>
        </a:p>
      </dsp:txBody>
      <dsp:txXfrm>
        <a:off x="3953" y="1601542"/>
        <a:ext cx="1689843" cy="879057"/>
      </dsp:txXfrm>
    </dsp:sp>
    <dsp:sp modelId="{C4EF671D-A26D-45C0-85E4-588CD59DFD74}">
      <dsp:nvSpPr>
        <dsp:cNvPr id="0" name=""/>
        <dsp:cNvSpPr/>
      </dsp:nvSpPr>
      <dsp:spPr>
        <a:xfrm>
          <a:off x="1898859" y="246830"/>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Формування державних доходів. </a:t>
          </a:r>
          <a:endParaRPr lang="ru-RU" sz="1400" kern="1200">
            <a:latin typeface="Times New Roman" panose="02020603050405020304" pitchFamily="18" charset="0"/>
            <a:cs typeface="Times New Roman" panose="02020603050405020304" pitchFamily="18" charset="0"/>
          </a:endParaRPr>
        </a:p>
      </dsp:txBody>
      <dsp:txXfrm>
        <a:off x="1898859" y="246830"/>
        <a:ext cx="3354987" cy="402785"/>
      </dsp:txXfrm>
    </dsp:sp>
    <dsp:sp modelId="{56445D74-BB4E-4831-88F7-B7C54217E899}">
      <dsp:nvSpPr>
        <dsp:cNvPr id="0" name=""/>
        <dsp:cNvSpPr/>
      </dsp:nvSpPr>
      <dsp:spPr>
        <a:xfrm>
          <a:off x="1898859" y="777779"/>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Нерівномірний розподіл доходів. </a:t>
          </a:r>
        </a:p>
      </dsp:txBody>
      <dsp:txXfrm>
        <a:off x="1898859" y="777779"/>
        <a:ext cx="3354987" cy="402785"/>
      </dsp:txXfrm>
    </dsp:sp>
    <dsp:sp modelId="{1B57458D-E072-4C28-A71E-FF2BEFA14F7D}">
      <dsp:nvSpPr>
        <dsp:cNvPr id="0" name=""/>
        <dsp:cNvSpPr/>
      </dsp:nvSpPr>
      <dsp:spPr>
        <a:xfrm>
          <a:off x="1898859" y="1308729"/>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Забезпечення продовольчої безпеки. </a:t>
          </a:r>
        </a:p>
      </dsp:txBody>
      <dsp:txXfrm>
        <a:off x="1898859" y="1308729"/>
        <a:ext cx="3354987" cy="402785"/>
      </dsp:txXfrm>
    </dsp:sp>
    <dsp:sp modelId="{0FFF32F7-461B-4E91-A476-C3BA0C8CC119}">
      <dsp:nvSpPr>
        <dsp:cNvPr id="0" name=""/>
        <dsp:cNvSpPr/>
      </dsp:nvSpPr>
      <dsp:spPr>
        <a:xfrm>
          <a:off x="1898859" y="1839678"/>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Розвиток регіонів. </a:t>
          </a:r>
        </a:p>
      </dsp:txBody>
      <dsp:txXfrm>
        <a:off x="1898859" y="1839678"/>
        <a:ext cx="3354987" cy="402785"/>
      </dsp:txXfrm>
    </dsp:sp>
    <dsp:sp modelId="{D3A1CFB9-7656-4D36-A3EB-38DD07950428}">
      <dsp:nvSpPr>
        <dsp:cNvPr id="0" name=""/>
        <dsp:cNvSpPr/>
      </dsp:nvSpPr>
      <dsp:spPr>
        <a:xfrm>
          <a:off x="1898859" y="2370628"/>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Екологічний вплив. </a:t>
          </a:r>
        </a:p>
      </dsp:txBody>
      <dsp:txXfrm>
        <a:off x="1898859" y="2370628"/>
        <a:ext cx="3354987" cy="402785"/>
      </dsp:txXfrm>
    </dsp:sp>
    <dsp:sp modelId="{FEE67F8B-ED1E-4D42-BBA2-9D1C9EBDE86B}">
      <dsp:nvSpPr>
        <dsp:cNvPr id="0" name=""/>
        <dsp:cNvSpPr/>
      </dsp:nvSpPr>
      <dsp:spPr>
        <a:xfrm>
          <a:off x="1898859" y="2901577"/>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Доступ до житла. </a:t>
          </a:r>
        </a:p>
      </dsp:txBody>
      <dsp:txXfrm>
        <a:off x="1898859" y="2901577"/>
        <a:ext cx="3354987" cy="402785"/>
      </dsp:txXfrm>
    </dsp:sp>
    <dsp:sp modelId="{394DC682-ABC9-4BF1-8F61-EBCA8F9225D9}">
      <dsp:nvSpPr>
        <dsp:cNvPr id="0" name=""/>
        <dsp:cNvSpPr/>
      </dsp:nvSpPr>
      <dsp:spPr>
        <a:xfrm>
          <a:off x="1898859" y="3432526"/>
          <a:ext cx="3354987" cy="402785"/>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Стимулювання економічної активності.</a:t>
          </a:r>
        </a:p>
      </dsp:txBody>
      <dsp:txXfrm>
        <a:off x="1898859" y="3432526"/>
        <a:ext cx="3354987" cy="402785"/>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2FCF3-56FE-443C-B84F-A454E3DB6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89</Pages>
  <Words>20313</Words>
  <Characters>115787</Characters>
  <Application>Microsoft Office Word</Application>
  <DocSecurity>0</DocSecurity>
  <Lines>964</Lines>
  <Paragraphs>271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Anastasia</cp:lastModifiedBy>
  <cp:revision>10</cp:revision>
  <dcterms:created xsi:type="dcterms:W3CDTF">2024-12-03T21:59:00Z</dcterms:created>
  <dcterms:modified xsi:type="dcterms:W3CDTF">2025-01-11T19:33:00Z</dcterms:modified>
</cp:coreProperties>
</file>